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0.png" ContentType="image/png"/>
  <Override PartName="/word/media/rId36.png" ContentType="image/png"/>
  <Override PartName="/word/media/rId40.png" ContentType="image/png"/>
  <Override PartName="/word/media/rId32.png" ContentType="image/png"/>
  <Override PartName="/word/media/rId28.png" ContentType="image/png"/>
  <Override PartName="/word/media/rId24.png" ContentType="image/png"/>
  <Override PartName="/word/media/rId51.png" ContentType="image/png"/>
  <Override PartName="/word/media/rId5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Spatial</w:t>
      </w:r>
      <w:r>
        <w:t xml:space="preserve"> </w:t>
      </w:r>
      <w:r>
        <w:t xml:space="preserve">Structure</w:t>
      </w:r>
      <w:r>
        <w:t xml:space="preserve"> </w:t>
      </w:r>
      <w:r>
        <w:t xml:space="preserve">is</w:t>
      </w:r>
      <w:r>
        <w:t xml:space="preserve"> </w:t>
      </w:r>
      <w:r>
        <w:t xml:space="preserve">More</w:t>
      </w:r>
      <w:r>
        <w:t xml:space="preserve"> </w:t>
      </w:r>
      <w:r>
        <w:t xml:space="preserve">Than</w:t>
      </w:r>
      <w:r>
        <w:t xml:space="preserve"> </w:t>
      </w:r>
      <w:r>
        <w:t xml:space="preserve">Habitat</w:t>
      </w:r>
      <w:r>
        <w:t xml:space="preserve"> </w:t>
      </w:r>
      <w:r>
        <w:t xml:space="preserve">Amount:</w:t>
      </w:r>
      <w:r>
        <w:t xml:space="preserve"> </w:t>
      </w:r>
      <w:r>
        <w:t xml:space="preserve">A</w:t>
      </w:r>
      <w:r>
        <w:t xml:space="preserve"> </w:t>
      </w:r>
      <w:r>
        <w:t xml:space="preserve">Metapopulation</w:t>
      </w:r>
      <w:r>
        <w:t xml:space="preserve"> </w:t>
      </w:r>
      <w:r>
        <w:t xml:space="preserve">Approach</w:t>
      </w:r>
      <w:r>
        <w:t xml:space="preserve"> </w:t>
      </w:r>
      <w:r>
        <w:t xml:space="preserve">is</w:t>
      </w:r>
      <w:r>
        <w:t xml:space="preserve"> </w:t>
      </w:r>
      <w:r>
        <w:t xml:space="preserve">Necessary</w:t>
      </w:r>
      <w:r>
        <w:t xml:space="preserve"> </w:t>
      </w:r>
      <w:r>
        <w:t xml:space="preserve">to</w:t>
      </w:r>
      <w:r>
        <w:t xml:space="preserve"> </w:t>
      </w:r>
      <w:r>
        <w:t xml:space="preserve">Project</w:t>
      </w:r>
      <w:r>
        <w:t xml:space="preserve"> </w:t>
      </w:r>
      <w:r>
        <w:t xml:space="preserve">Distributions</w:t>
      </w:r>
      <w:r>
        <w:t xml:space="preserve"> </w:t>
      </w:r>
      <w:r>
        <w:t xml:space="preserve">Under</w:t>
      </w:r>
      <w:r>
        <w:t xml:space="preserve"> </w:t>
      </w:r>
      <w:r>
        <w:t xml:space="preserve">Climate</w:t>
      </w:r>
      <w:r>
        <w:t xml:space="preserve"> </w:t>
      </w:r>
      <w:r>
        <w:t xml:space="preserve">Change</w:t>
      </w:r>
    </w:p>
    <w:p>
      <w:pPr>
        <w:pStyle w:val="Author"/>
      </w:pPr>
      <w:r>
        <w:t xml:space="preserve">Victor Cameron</w:t>
      </w:r>
      <w:r>
        <w:rPr>
          <w:vertAlign w:val="superscript"/>
        </w:rPr>
        <w:t xml:space="preserve">1,2,*</w:t>
      </w:r>
      <w:r>
        <w:t xml:space="preserve">,</w:t>
      </w:r>
      <w:r>
        <w:t xml:space="preserve"> </w:t>
      </w:r>
      <w:r>
        <w:t xml:space="preserve">F.</w:t>
      </w:r>
      <w:r>
        <w:t xml:space="preserve"> </w:t>
      </w:r>
      <w:r>
        <w:t xml:space="preserve">Guillaume Blanchet</w:t>
      </w:r>
      <w:r>
        <w:rPr>
          <w:vertAlign w:val="superscript"/>
        </w:rPr>
        <w:t xml:space="preserve">1,2,3,4</w:t>
      </w:r>
      <w:r>
        <w:t xml:space="preserve">,</w:t>
      </w:r>
      <w:r>
        <w:t xml:space="preserve"> </w:t>
      </w:r>
      <w:r>
        <w:t xml:space="preserve">Yan Boulanger</w:t>
      </w:r>
      <w:r>
        <w:rPr>
          <w:vertAlign w:val="superscript"/>
        </w:rPr>
        <w:t xml:space="preserve">5</w:t>
      </w:r>
      <w:r>
        <w:t xml:space="preserve">,</w:t>
      </w:r>
      <w:r>
        <w:t xml:space="preserve"> </w:t>
      </w:r>
      <w:r>
        <w:t xml:space="preserve">Junior</w:t>
      </w:r>
      <w:r>
        <w:t xml:space="preserve"> </w:t>
      </w:r>
      <w:r>
        <w:t xml:space="preserve">A. Tremblay</w:t>
      </w:r>
      <w:r>
        <w:rPr>
          <w:vertAlign w:val="superscript"/>
        </w:rPr>
        <w:t xml:space="preserve">6,7</w:t>
      </w:r>
      <w:r>
        <w:t xml:space="preserve">,</w:t>
      </w:r>
      <w:r>
        <w:t xml:space="preserve"> </w:t>
      </w:r>
      <w:r>
        <w:t xml:space="preserve">Dominique Gravel</w:t>
      </w:r>
      <w:r>
        <w:rPr>
          <w:vertAlign w:val="superscript"/>
        </w:rPr>
        <w:t xml:space="preserve">1,2</w:t>
      </w:r>
      <w:r>
        <w:br/>
      </w:r>
      <w:r>
        <w:br/>
      </w:r>
      <w:r>
        <w:rPr>
          <w:vertAlign w:val="superscript"/>
        </w:rPr>
        <w:t xml:space="preserve">1</w:t>
      </w:r>
      <w:r>
        <w:t xml:space="preserve"> </w:t>
      </w:r>
      <w:r>
        <w:rPr>
          <w:i/>
        </w:rPr>
        <w:t xml:space="preserve">Département</w:t>
      </w:r>
      <w:r>
        <w:rPr>
          <w:i/>
        </w:rPr>
        <w:t xml:space="preserve"> </w:t>
      </w:r>
      <w:r>
        <w:rPr>
          <w:i/>
        </w:rPr>
        <w:t xml:space="preserve">de</w:t>
      </w:r>
      <w:r>
        <w:rPr>
          <w:i/>
        </w:rPr>
        <w:t xml:space="preserve"> </w:t>
      </w:r>
      <w:r>
        <w:rPr>
          <w:i/>
        </w:rPr>
        <w:t xml:space="preserve">biologie,</w:t>
      </w:r>
      <w:r>
        <w:rPr>
          <w:i/>
        </w:rPr>
        <w:t xml:space="preserve"> </w:t>
      </w:r>
      <w:r>
        <w:rPr>
          <w:i/>
        </w:rPr>
        <w:t xml:space="preserve">Université</w:t>
      </w:r>
      <w:r>
        <w:rPr>
          <w:i/>
        </w:rPr>
        <w:t xml:space="preserve"> </w:t>
      </w:r>
      <w:r>
        <w:rPr>
          <w:i/>
        </w:rPr>
        <w:t xml:space="preserve">de</w:t>
      </w:r>
      <w:r>
        <w:rPr>
          <w:i/>
        </w:rPr>
        <w:t xml:space="preserve"> </w:t>
      </w:r>
      <w:r>
        <w:rPr>
          <w:i/>
        </w:rPr>
        <w:t xml:space="preserve">Sherbrooke,</w:t>
      </w:r>
      <w:r>
        <w:rPr>
          <w:i/>
        </w:rPr>
        <w:t xml:space="preserve"> </w:t>
      </w:r>
      <w:r>
        <w:rPr>
          <w:i/>
        </w:rPr>
        <w:t xml:space="preserve">Sherbrooke,</w:t>
      </w:r>
      <w:r>
        <w:rPr>
          <w:i/>
        </w:rPr>
        <w:t xml:space="preserve"> </w:t>
      </w:r>
      <w:r>
        <w:rPr>
          <w:i/>
        </w:rPr>
        <w:t xml:space="preserve">Québec,</w:t>
      </w:r>
      <w:r>
        <w:rPr>
          <w:i/>
        </w:rPr>
        <w:t xml:space="preserve"> </w:t>
      </w:r>
      <w:r>
        <w:rPr>
          <w:i/>
        </w:rPr>
        <w:t xml:space="preserve">Canada</w:t>
      </w:r>
      <w:r>
        <w:br/>
      </w:r>
      <w:r>
        <w:rPr>
          <w:vertAlign w:val="superscript"/>
        </w:rPr>
        <w:t xml:space="preserve">2</w:t>
      </w:r>
      <w:r>
        <w:t xml:space="preserve"> </w:t>
      </w:r>
      <w:r>
        <w:rPr>
          <w:i/>
        </w:rPr>
        <w:t xml:space="preserve">Québec</w:t>
      </w:r>
      <w:r>
        <w:rPr>
          <w:i/>
        </w:rPr>
        <w:t xml:space="preserve"> </w:t>
      </w:r>
      <w:r>
        <w:rPr>
          <w:i/>
        </w:rPr>
        <w:t xml:space="preserve">Centre</w:t>
      </w:r>
      <w:r>
        <w:rPr>
          <w:i/>
        </w:rPr>
        <w:t xml:space="preserve"> </w:t>
      </w:r>
      <w:r>
        <w:rPr>
          <w:i/>
        </w:rPr>
        <w:t xml:space="preserve">for</w:t>
      </w:r>
      <w:r>
        <w:rPr>
          <w:i/>
        </w:rPr>
        <w:t xml:space="preserve"> </w:t>
      </w:r>
      <w:r>
        <w:rPr>
          <w:i/>
        </w:rPr>
        <w:t xml:space="preserve">Biodiversity</w:t>
      </w:r>
      <w:r>
        <w:rPr>
          <w:i/>
        </w:rPr>
        <w:t xml:space="preserve"> </w:t>
      </w:r>
      <w:r>
        <w:rPr>
          <w:i/>
        </w:rPr>
        <w:t xml:space="preserve">Sciences,</w:t>
      </w:r>
      <w:r>
        <w:rPr>
          <w:i/>
        </w:rPr>
        <w:t xml:space="preserve"> </w:t>
      </w:r>
      <w:r>
        <w:rPr>
          <w:i/>
        </w:rPr>
        <w:t xml:space="preserve">McGill</w:t>
      </w:r>
      <w:r>
        <w:rPr>
          <w:i/>
        </w:rPr>
        <w:t xml:space="preserve"> </w:t>
      </w:r>
      <w:r>
        <w:rPr>
          <w:i/>
        </w:rPr>
        <w:t xml:space="preserve">University,</w:t>
      </w:r>
      <w:r>
        <w:rPr>
          <w:i/>
        </w:rPr>
        <w:t xml:space="preserve"> </w:t>
      </w:r>
      <w:r>
        <w:rPr>
          <w:i/>
        </w:rPr>
        <w:t xml:space="preserve">Montréal,</w:t>
      </w:r>
      <w:r>
        <w:rPr>
          <w:i/>
        </w:rPr>
        <w:t xml:space="preserve"> </w:t>
      </w:r>
      <w:r>
        <w:rPr>
          <w:i/>
        </w:rPr>
        <w:t xml:space="preserve">Québec,</w:t>
      </w:r>
      <w:r>
        <w:rPr>
          <w:i/>
        </w:rPr>
        <w:t xml:space="preserve"> </w:t>
      </w:r>
      <w:r>
        <w:rPr>
          <w:i/>
        </w:rPr>
        <w:t xml:space="preserve">Canada</w:t>
      </w:r>
      <w:r>
        <w:br/>
      </w:r>
      <w:r>
        <w:rPr>
          <w:vertAlign w:val="superscript"/>
        </w:rPr>
        <w:t xml:space="preserve">3</w:t>
      </w:r>
      <w:r>
        <w:t xml:space="preserve"> </w:t>
      </w:r>
      <w:r>
        <w:rPr>
          <w:i/>
        </w:rPr>
        <w:t xml:space="preserve">Département</w:t>
      </w:r>
      <w:r>
        <w:rPr>
          <w:i/>
        </w:rPr>
        <w:t xml:space="preserve"> </w:t>
      </w:r>
      <w:r>
        <w:rPr>
          <w:i/>
        </w:rPr>
        <w:t xml:space="preserve">de</w:t>
      </w:r>
      <w:r>
        <w:rPr>
          <w:i/>
        </w:rPr>
        <w:t xml:space="preserve"> </w:t>
      </w:r>
      <w:r>
        <w:rPr>
          <w:i/>
        </w:rPr>
        <w:t xml:space="preserve">mathématiques,</w:t>
      </w:r>
      <w:r>
        <w:rPr>
          <w:i/>
        </w:rPr>
        <w:t xml:space="preserve"> </w:t>
      </w:r>
      <w:r>
        <w:rPr>
          <w:i/>
        </w:rPr>
        <w:t xml:space="preserve">Université</w:t>
      </w:r>
      <w:r>
        <w:rPr>
          <w:i/>
        </w:rPr>
        <w:t xml:space="preserve"> </w:t>
      </w:r>
      <w:r>
        <w:rPr>
          <w:i/>
        </w:rPr>
        <w:t xml:space="preserve">de</w:t>
      </w:r>
      <w:r>
        <w:rPr>
          <w:i/>
        </w:rPr>
        <w:t xml:space="preserve"> </w:t>
      </w:r>
      <w:r>
        <w:rPr>
          <w:i/>
        </w:rPr>
        <w:t xml:space="preserve">Sherbrooke,</w:t>
      </w:r>
      <w:r>
        <w:rPr>
          <w:i/>
        </w:rPr>
        <w:t xml:space="preserve"> </w:t>
      </w:r>
      <w:r>
        <w:rPr>
          <w:i/>
        </w:rPr>
        <w:t xml:space="preserve">Sherbrooke,</w:t>
      </w:r>
      <w:r>
        <w:rPr>
          <w:i/>
        </w:rPr>
        <w:t xml:space="preserve"> </w:t>
      </w:r>
      <w:r>
        <w:rPr>
          <w:i/>
        </w:rPr>
        <w:t xml:space="preserve">Québec,</w:t>
      </w:r>
      <w:r>
        <w:rPr>
          <w:i/>
        </w:rPr>
        <w:t xml:space="preserve"> </w:t>
      </w:r>
      <w:r>
        <w:rPr>
          <w:i/>
        </w:rPr>
        <w:t xml:space="preserve">Canada</w:t>
      </w:r>
      <w:r>
        <w:br/>
      </w:r>
      <w:r>
        <w:rPr>
          <w:vertAlign w:val="superscript"/>
        </w:rPr>
        <w:t xml:space="preserve">4</w:t>
      </w:r>
      <w:r>
        <w:t xml:space="preserve"> </w:t>
      </w:r>
      <w:r>
        <w:rPr>
          <w:i/>
        </w:rPr>
        <w:t xml:space="preserve">Département</w:t>
      </w:r>
      <w:r>
        <w:rPr>
          <w:i/>
        </w:rPr>
        <w:t xml:space="preserve"> </w:t>
      </w:r>
      <w:r>
        <w:rPr>
          <w:i/>
        </w:rPr>
        <w:t xml:space="preserve">des</w:t>
      </w:r>
      <w:r>
        <w:rPr>
          <w:i/>
        </w:rPr>
        <w:t xml:space="preserve"> </w:t>
      </w:r>
      <w:r>
        <w:rPr>
          <w:i/>
        </w:rPr>
        <w:t xml:space="preserve">sciences</w:t>
      </w:r>
      <w:r>
        <w:rPr>
          <w:i/>
        </w:rPr>
        <w:t xml:space="preserve"> </w:t>
      </w:r>
      <w:r>
        <w:rPr>
          <w:i/>
        </w:rPr>
        <w:t xml:space="preserve">de</w:t>
      </w:r>
      <w:r>
        <w:rPr>
          <w:i/>
        </w:rPr>
        <w:t xml:space="preserve"> </w:t>
      </w:r>
      <w:r>
        <w:rPr>
          <w:i/>
        </w:rPr>
        <w:t xml:space="preserve">la</w:t>
      </w:r>
      <w:r>
        <w:rPr>
          <w:i/>
        </w:rPr>
        <w:t xml:space="preserve"> </w:t>
      </w:r>
      <w:r>
        <w:rPr>
          <w:i/>
        </w:rPr>
        <w:t xml:space="preserve">santé</w:t>
      </w:r>
      <w:r>
        <w:rPr>
          <w:i/>
        </w:rPr>
        <w:t xml:space="preserve"> </w:t>
      </w:r>
      <w:r>
        <w:rPr>
          <w:i/>
        </w:rPr>
        <w:t xml:space="preserve">communautaire,</w:t>
      </w:r>
      <w:r>
        <w:rPr>
          <w:i/>
        </w:rPr>
        <w:t xml:space="preserve"> </w:t>
      </w:r>
      <w:r>
        <w:rPr>
          <w:i/>
        </w:rPr>
        <w:t xml:space="preserve">Université</w:t>
      </w:r>
      <w:r>
        <w:rPr>
          <w:i/>
        </w:rPr>
        <w:t xml:space="preserve"> </w:t>
      </w:r>
      <w:r>
        <w:rPr>
          <w:i/>
        </w:rPr>
        <w:t xml:space="preserve">de</w:t>
      </w:r>
      <w:r>
        <w:rPr>
          <w:i/>
        </w:rPr>
        <w:t xml:space="preserve"> </w:t>
      </w:r>
      <w:r>
        <w:rPr>
          <w:i/>
        </w:rPr>
        <w:t xml:space="preserve">Sherbrooke,</w:t>
      </w:r>
      <w:r>
        <w:rPr>
          <w:i/>
        </w:rPr>
        <w:t xml:space="preserve"> </w:t>
      </w:r>
      <w:r>
        <w:rPr>
          <w:i/>
        </w:rPr>
        <w:t xml:space="preserve">Sherbrooke,</w:t>
      </w:r>
      <w:r>
        <w:rPr>
          <w:i/>
        </w:rPr>
        <w:t xml:space="preserve"> </w:t>
      </w:r>
      <w:r>
        <w:rPr>
          <w:i/>
        </w:rPr>
        <w:t xml:space="preserve">Québec,</w:t>
      </w:r>
      <w:r>
        <w:rPr>
          <w:i/>
        </w:rPr>
        <w:t xml:space="preserve"> </w:t>
      </w:r>
      <w:r>
        <w:rPr>
          <w:i/>
        </w:rPr>
        <w:t xml:space="preserve">Canada</w:t>
      </w:r>
      <w:r>
        <w:br/>
      </w:r>
      <w:r>
        <w:rPr>
          <w:vertAlign w:val="superscript"/>
        </w:rPr>
        <w:t xml:space="preserve">5</w:t>
      </w:r>
      <w:r>
        <w:t xml:space="preserve"> </w:t>
      </w:r>
      <w:r>
        <w:rPr>
          <w:i/>
        </w:rPr>
        <w:t xml:space="preserve">Canadian</w:t>
      </w:r>
      <w:r>
        <w:rPr>
          <w:i/>
        </w:rPr>
        <w:t xml:space="preserve"> </w:t>
      </w:r>
      <w:r>
        <w:rPr>
          <w:i/>
        </w:rPr>
        <w:t xml:space="preserve">Forest</w:t>
      </w:r>
      <w:r>
        <w:rPr>
          <w:i/>
        </w:rPr>
        <w:t xml:space="preserve"> </w:t>
      </w:r>
      <w:r>
        <w:rPr>
          <w:i/>
        </w:rPr>
        <w:t xml:space="preserve">Service,</w:t>
      </w:r>
      <w:r>
        <w:rPr>
          <w:i/>
        </w:rPr>
        <w:t xml:space="preserve"> </w:t>
      </w:r>
      <w:r>
        <w:rPr>
          <w:i/>
        </w:rPr>
        <w:t xml:space="preserve">Laurentian</w:t>
      </w:r>
      <w:r>
        <w:rPr>
          <w:i/>
        </w:rPr>
        <w:t xml:space="preserve"> </w:t>
      </w:r>
      <w:r>
        <w:rPr>
          <w:i/>
        </w:rPr>
        <w:t xml:space="preserve">Forestry</w:t>
      </w:r>
      <w:r>
        <w:rPr>
          <w:i/>
        </w:rPr>
        <w:t xml:space="preserve"> </w:t>
      </w:r>
      <w:r>
        <w:rPr>
          <w:i/>
        </w:rPr>
        <w:t xml:space="preserve">Centre,</w:t>
      </w:r>
      <w:r>
        <w:rPr>
          <w:i/>
        </w:rPr>
        <w:t xml:space="preserve"> </w:t>
      </w:r>
      <w:r>
        <w:rPr>
          <w:i/>
        </w:rPr>
        <w:t xml:space="preserve">Natural</w:t>
      </w:r>
      <w:r>
        <w:rPr>
          <w:i/>
        </w:rPr>
        <w:t xml:space="preserve"> </w:t>
      </w:r>
      <w:r>
        <w:rPr>
          <w:i/>
        </w:rPr>
        <w:t xml:space="preserve">Resources</w:t>
      </w:r>
      <w:r>
        <w:rPr>
          <w:i/>
        </w:rPr>
        <w:t xml:space="preserve"> </w:t>
      </w:r>
      <w:r>
        <w:rPr>
          <w:i/>
        </w:rPr>
        <w:t xml:space="preserve">Canada,</w:t>
      </w:r>
      <w:r>
        <w:rPr>
          <w:i/>
        </w:rPr>
        <w:t xml:space="preserve"> </w:t>
      </w:r>
      <w:r>
        <w:rPr>
          <w:i/>
        </w:rPr>
        <w:t xml:space="preserve">Québec,</w:t>
      </w:r>
      <w:r>
        <w:rPr>
          <w:i/>
        </w:rPr>
        <w:t xml:space="preserve"> </w:t>
      </w:r>
      <w:r>
        <w:rPr>
          <w:i/>
        </w:rPr>
        <w:t xml:space="preserve">Québec,</w:t>
      </w:r>
      <w:r>
        <w:rPr>
          <w:i/>
        </w:rPr>
        <w:t xml:space="preserve"> </w:t>
      </w:r>
      <w:r>
        <w:rPr>
          <w:i/>
        </w:rPr>
        <w:t xml:space="preserve">Canada</w:t>
      </w:r>
      <w:r>
        <w:br/>
      </w:r>
      <w:r>
        <w:rPr>
          <w:vertAlign w:val="superscript"/>
        </w:rPr>
        <w:t xml:space="preserve">6</w:t>
      </w:r>
      <w:r>
        <w:t xml:space="preserve"> </w:t>
      </w:r>
      <w:r>
        <w:rPr>
          <w:i/>
        </w:rPr>
        <w:t xml:space="preserve">Environment</w:t>
      </w:r>
      <w:r>
        <w:rPr>
          <w:i/>
        </w:rPr>
        <w:t xml:space="preserve"> </w:t>
      </w:r>
      <w:r>
        <w:rPr>
          <w:i/>
        </w:rPr>
        <w:t xml:space="preserve">and</w:t>
      </w:r>
      <w:r>
        <w:rPr>
          <w:i/>
        </w:rPr>
        <w:t xml:space="preserve"> </w:t>
      </w:r>
      <w:r>
        <w:rPr>
          <w:i/>
        </w:rPr>
        <w:t xml:space="preserve">Climate</w:t>
      </w:r>
      <w:r>
        <w:rPr>
          <w:i/>
        </w:rPr>
        <w:t xml:space="preserve"> </w:t>
      </w:r>
      <w:r>
        <w:rPr>
          <w:i/>
        </w:rPr>
        <w:t xml:space="preserve">Change</w:t>
      </w:r>
      <w:r>
        <w:rPr>
          <w:i/>
        </w:rPr>
        <w:t xml:space="preserve"> </w:t>
      </w:r>
      <w:r>
        <w:rPr>
          <w:i/>
        </w:rPr>
        <w:t xml:space="preserve">Canada,</w:t>
      </w:r>
      <w:r>
        <w:rPr>
          <w:i/>
        </w:rPr>
        <w:t xml:space="preserve"> </w:t>
      </w:r>
      <w:r>
        <w:rPr>
          <w:i/>
        </w:rPr>
        <w:t xml:space="preserve">Wildlife</w:t>
      </w:r>
      <w:r>
        <w:rPr>
          <w:i/>
        </w:rPr>
        <w:t xml:space="preserve"> </w:t>
      </w:r>
      <w:r>
        <w:rPr>
          <w:i/>
        </w:rPr>
        <w:t xml:space="preserve">Research</w:t>
      </w:r>
      <w:r>
        <w:rPr>
          <w:i/>
        </w:rPr>
        <w:t xml:space="preserve"> </w:t>
      </w:r>
      <w:r>
        <w:rPr>
          <w:i/>
        </w:rPr>
        <w:t xml:space="preserve">Division,</w:t>
      </w:r>
      <w:r>
        <w:rPr>
          <w:i/>
        </w:rPr>
        <w:t xml:space="preserve"> </w:t>
      </w:r>
      <w:r>
        <w:rPr>
          <w:i/>
        </w:rPr>
        <w:t xml:space="preserve">Québec,</w:t>
      </w:r>
      <w:r>
        <w:rPr>
          <w:i/>
        </w:rPr>
        <w:t xml:space="preserve"> </w:t>
      </w:r>
      <w:r>
        <w:rPr>
          <w:i/>
        </w:rPr>
        <w:t xml:space="preserve">Québec,</w:t>
      </w:r>
      <w:r>
        <w:rPr>
          <w:i/>
        </w:rPr>
        <w:t xml:space="preserve"> </w:t>
      </w:r>
      <w:r>
        <w:rPr>
          <w:i/>
        </w:rPr>
        <w:t xml:space="preserve">Canada</w:t>
      </w:r>
      <w:r>
        <w:br/>
      </w:r>
      <w:r>
        <w:rPr>
          <w:vertAlign w:val="superscript"/>
        </w:rPr>
        <w:t xml:space="preserve">7</w:t>
      </w:r>
      <w:r>
        <w:t xml:space="preserve"> </w:t>
      </w:r>
      <w:r>
        <w:rPr>
          <w:i/>
        </w:rPr>
        <w:t xml:space="preserve">Département</w:t>
      </w:r>
      <w:r>
        <w:rPr>
          <w:i/>
        </w:rPr>
        <w:t xml:space="preserve"> </w:t>
      </w:r>
      <w:r>
        <w:rPr>
          <w:i/>
        </w:rPr>
        <w:t xml:space="preserve">des</w:t>
      </w:r>
      <w:r>
        <w:rPr>
          <w:i/>
        </w:rPr>
        <w:t xml:space="preserve"> </w:t>
      </w:r>
      <w:r>
        <w:rPr>
          <w:i/>
        </w:rPr>
        <w:t xml:space="preserve">sciences</w:t>
      </w:r>
      <w:r>
        <w:rPr>
          <w:i/>
        </w:rPr>
        <w:t xml:space="preserve"> </w:t>
      </w:r>
      <w:r>
        <w:rPr>
          <w:i/>
        </w:rPr>
        <w:t xml:space="preserve">du</w:t>
      </w:r>
      <w:r>
        <w:rPr>
          <w:i/>
        </w:rPr>
        <w:t xml:space="preserve"> </w:t>
      </w:r>
      <w:r>
        <w:rPr>
          <w:i/>
        </w:rPr>
        <w:t xml:space="preserve">bois</w:t>
      </w:r>
      <w:r>
        <w:rPr>
          <w:i/>
        </w:rPr>
        <w:t xml:space="preserve"> </w:t>
      </w:r>
      <w:r>
        <w:rPr>
          <w:i/>
        </w:rPr>
        <w:t xml:space="preserve">et</w:t>
      </w:r>
      <w:r>
        <w:rPr>
          <w:i/>
        </w:rPr>
        <w:t xml:space="preserve"> </w:t>
      </w:r>
      <w:r>
        <w:rPr>
          <w:i/>
        </w:rPr>
        <w:t xml:space="preserve">de</w:t>
      </w:r>
      <w:r>
        <w:rPr>
          <w:i/>
        </w:rPr>
        <w:t xml:space="preserve"> </w:t>
      </w:r>
      <w:r>
        <w:rPr>
          <w:i/>
        </w:rPr>
        <w:t xml:space="preserve">la</w:t>
      </w:r>
      <w:r>
        <w:rPr>
          <w:i/>
        </w:rPr>
        <w:t xml:space="preserve"> </w:t>
      </w:r>
      <w:r>
        <w:rPr>
          <w:i/>
        </w:rPr>
        <w:t xml:space="preserve">forêt,</w:t>
      </w:r>
      <w:r>
        <w:rPr>
          <w:i/>
        </w:rPr>
        <w:t xml:space="preserve"> </w:t>
      </w:r>
      <w:r>
        <w:rPr>
          <w:i/>
        </w:rPr>
        <w:t xml:space="preserve">Université</w:t>
      </w:r>
      <w:r>
        <w:rPr>
          <w:i/>
        </w:rPr>
        <w:t xml:space="preserve"> </w:t>
      </w:r>
      <w:r>
        <w:rPr>
          <w:i/>
        </w:rPr>
        <w:t xml:space="preserve">Laval,</w:t>
      </w:r>
      <w:r>
        <w:rPr>
          <w:i/>
        </w:rPr>
        <w:t xml:space="preserve"> </w:t>
      </w:r>
      <w:r>
        <w:rPr>
          <w:i/>
        </w:rPr>
        <w:t xml:space="preserve">Québec,</w:t>
      </w:r>
      <w:r>
        <w:rPr>
          <w:i/>
        </w:rPr>
        <w:t xml:space="preserve"> </w:t>
      </w:r>
      <w:r>
        <w:rPr>
          <w:i/>
        </w:rPr>
        <w:t xml:space="preserve">Canada</w:t>
      </w:r>
      <w:r>
        <w:br/>
      </w:r>
      <w:r>
        <w:rPr>
          <w:vertAlign w:val="superscript"/>
        </w:rPr>
        <w:t xml:space="preserve">*</w:t>
      </w:r>
      <w:r>
        <w:t xml:space="preserve"> </w:t>
      </w:r>
      <w:r>
        <w:rPr>
          <w:i/>
        </w:rPr>
        <w:t xml:space="preserve">corresponding</w:t>
      </w:r>
      <w:r>
        <w:rPr>
          <w:i/>
        </w:rPr>
        <w:t xml:space="preserve"> </w:t>
      </w:r>
      <w:r>
        <w:rPr>
          <w:i/>
        </w:rPr>
        <w:t xml:space="preserve">author:</w:t>
      </w:r>
      <w:r>
        <w:rPr>
          <w:i/>
        </w:rPr>
        <w:t xml:space="preserve"> </w:t>
      </w:r>
      <w:r>
        <w:rPr>
          <w:i/>
        </w:rPr>
        <w:t xml:space="preserve">victor.cameron@usherbrooke.ca</w:t>
      </w:r>
    </w:p>
    <w:p>
      <w:pPr>
        <w:pStyle w:val="Abstract"/>
      </w:pPr>
      <w:r>
        <w:t xml:space="preserve">Projecting</w:t>
      </w:r>
      <w:r>
        <w:t xml:space="preserve"> </w:t>
      </w:r>
      <w:r>
        <w:t xml:space="preserve">distributions</w:t>
      </w:r>
      <w:r>
        <w:t xml:space="preserve"> </w:t>
      </w:r>
      <w:r>
        <w:t xml:space="preserve">under</w:t>
      </w:r>
      <w:r>
        <w:t xml:space="preserve"> </w:t>
      </w:r>
      <w:r>
        <w:t xml:space="preserve">climate</w:t>
      </w:r>
      <w:r>
        <w:t xml:space="preserve"> </w:t>
      </w:r>
      <w:r>
        <w:t xml:space="preserve">change</w:t>
      </w:r>
      <w:r>
        <w:t xml:space="preserve"> </w:t>
      </w:r>
      <w:r>
        <w:t xml:space="preserve">requires</w:t>
      </w:r>
      <w:r>
        <w:t xml:space="preserve"> </w:t>
      </w:r>
      <w:r>
        <w:t xml:space="preserve">going</w:t>
      </w:r>
      <w:r>
        <w:t xml:space="preserve"> </w:t>
      </w:r>
      <w:r>
        <w:t xml:space="preserve">beyond</w:t>
      </w:r>
      <w:r>
        <w:t xml:space="preserve"> </w:t>
      </w:r>
      <w:r>
        <w:t xml:space="preserve">climate</w:t>
      </w:r>
      <w:r>
        <w:t xml:space="preserve"> </w:t>
      </w:r>
      <w:r>
        <w:t xml:space="preserve">suitability</w:t>
      </w:r>
      <w:r>
        <w:t xml:space="preserve"> </w:t>
      </w:r>
      <w:r>
        <w:t xml:space="preserve">models.</w:t>
      </w:r>
      <w:r>
        <w:t xml:space="preserve"> </w:t>
      </w:r>
      <w:r>
        <w:t xml:space="preserve">Assessing</w:t>
      </w:r>
      <w:r>
        <w:t xml:space="preserve"> </w:t>
      </w:r>
      <w:r>
        <w:t xml:space="preserve">species</w:t>
      </w:r>
      <w:r>
        <w:t xml:space="preserve"> </w:t>
      </w:r>
      <w:r>
        <w:t xml:space="preserve">persistence</w:t>
      </w:r>
      <w:r>
        <w:t xml:space="preserve"> </w:t>
      </w:r>
      <w:r>
        <w:t xml:space="preserve">should</w:t>
      </w:r>
      <w:r>
        <w:t xml:space="preserve"> </w:t>
      </w:r>
      <w:r>
        <w:t xml:space="preserve">account</w:t>
      </w:r>
      <w:r>
        <w:t xml:space="preserve"> </w:t>
      </w:r>
      <w:r>
        <w:t xml:space="preserve">for</w:t>
      </w:r>
      <w:r>
        <w:t xml:space="preserve"> </w:t>
      </w:r>
      <w:r>
        <w:t xml:space="preserve">the</w:t>
      </w:r>
      <w:r>
        <w:t xml:space="preserve"> </w:t>
      </w:r>
      <w:r>
        <w:t xml:space="preserve">spatial</w:t>
      </w:r>
      <w:r>
        <w:t xml:space="preserve"> </w:t>
      </w:r>
      <w:r>
        <w:t xml:space="preserve">arrangement</w:t>
      </w:r>
      <w:r>
        <w:t xml:space="preserve"> </w:t>
      </w:r>
      <w:r>
        <w:t xml:space="preserve">and</w:t>
      </w:r>
      <w:r>
        <w:t xml:space="preserve"> </w:t>
      </w:r>
      <w:r>
        <w:t xml:space="preserve">the</w:t>
      </w:r>
      <w:r>
        <w:t xml:space="preserve"> </w:t>
      </w:r>
      <w:r>
        <w:t xml:space="preserve">size</w:t>
      </w:r>
      <w:r>
        <w:t xml:space="preserve"> </w:t>
      </w:r>
      <w:r>
        <w:t xml:space="preserve">of</w:t>
      </w:r>
      <w:r>
        <w:t xml:space="preserve"> </w:t>
      </w:r>
      <w:r>
        <w:t xml:space="preserve">suitable</w:t>
      </w:r>
      <w:r>
        <w:t xml:space="preserve"> </w:t>
      </w:r>
      <w:r>
        <w:t xml:space="preserve">habitats,</w:t>
      </w:r>
      <w:r>
        <w:t xml:space="preserve"> </w:t>
      </w:r>
      <w:r>
        <w:t xml:space="preserve">which</w:t>
      </w:r>
      <w:r>
        <w:t xml:space="preserve"> </w:t>
      </w:r>
      <w:r>
        <w:t xml:space="preserve">are</w:t>
      </w:r>
      <w:r>
        <w:t xml:space="preserve"> </w:t>
      </w:r>
      <w:r>
        <w:t xml:space="preserve">often</w:t>
      </w:r>
      <w:r>
        <w:t xml:space="preserve"> </w:t>
      </w:r>
      <w:r>
        <w:t xml:space="preserve">characterized</w:t>
      </w:r>
      <w:r>
        <w:t xml:space="preserve"> </w:t>
      </w:r>
      <w:r>
        <w:t xml:space="preserve">by</w:t>
      </w:r>
      <w:r>
        <w:t xml:space="preserve"> </w:t>
      </w:r>
      <w:r>
        <w:t xml:space="preserve">vegetation</w:t>
      </w:r>
      <w:r>
        <w:t xml:space="preserve"> </w:t>
      </w:r>
      <w:r>
        <w:t xml:space="preserve">or</w:t>
      </w:r>
      <w:r>
        <w:t xml:space="preserve"> </w:t>
      </w:r>
      <w:r>
        <w:t xml:space="preserve">other</w:t>
      </w:r>
      <w:r>
        <w:t xml:space="preserve"> </w:t>
      </w:r>
      <w:r>
        <w:t xml:space="preserve">biotic</w:t>
      </w:r>
      <w:r>
        <w:t xml:space="preserve"> </w:t>
      </w:r>
      <w:r>
        <w:t xml:space="preserve">constraints.</w:t>
      </w:r>
      <w:r>
        <w:t xml:space="preserve"> </w:t>
      </w:r>
      <w:r>
        <w:t xml:space="preserve">We</w:t>
      </w:r>
      <w:r>
        <w:t xml:space="preserve"> </w:t>
      </w:r>
      <w:r>
        <w:t xml:space="preserve">propose</w:t>
      </w:r>
      <w:r>
        <w:t xml:space="preserve"> </w:t>
      </w:r>
      <w:r>
        <w:t xml:space="preserve">that</w:t>
      </w:r>
      <w:r>
        <w:t xml:space="preserve"> </w:t>
      </w:r>
      <w:r>
        <w:t xml:space="preserve">metapopulation</w:t>
      </w:r>
      <w:r>
        <w:t xml:space="preserve"> </w:t>
      </w:r>
      <w:r>
        <w:t xml:space="preserve">theory</w:t>
      </w:r>
      <w:r>
        <w:t xml:space="preserve"> </w:t>
      </w:r>
      <w:r>
        <w:t xml:space="preserve">can</w:t>
      </w:r>
      <w:r>
        <w:t xml:space="preserve"> </w:t>
      </w:r>
      <w:r>
        <w:t xml:space="preserve">be</w:t>
      </w:r>
      <w:r>
        <w:t xml:space="preserve"> </w:t>
      </w:r>
      <w:r>
        <w:t xml:space="preserve">used</w:t>
      </w:r>
      <w:r>
        <w:t xml:space="preserve"> </w:t>
      </w:r>
      <w:r>
        <w:t xml:space="preserve">to</w:t>
      </w:r>
      <w:r>
        <w:t xml:space="preserve"> </w:t>
      </w:r>
      <w:r>
        <w:t xml:space="preserve">leverage</w:t>
      </w:r>
      <w:r>
        <w:t xml:space="preserve"> </w:t>
      </w:r>
      <w:r>
        <w:t xml:space="preserve">species</w:t>
      </w:r>
      <w:r>
        <w:t xml:space="preserve"> </w:t>
      </w:r>
      <w:r>
        <w:t xml:space="preserve">distribution</w:t>
      </w:r>
      <w:r>
        <w:t xml:space="preserve"> </w:t>
      </w:r>
      <w:r>
        <w:t xml:space="preserve">models</w:t>
      </w:r>
      <w:r>
        <w:t xml:space="preserve"> </w:t>
      </w:r>
      <w:r>
        <w:t xml:space="preserve">and</w:t>
      </w:r>
      <w:r>
        <w:t xml:space="preserve"> </w:t>
      </w:r>
      <w:r>
        <w:t xml:space="preserve">account</w:t>
      </w:r>
      <w:r>
        <w:t xml:space="preserve"> </w:t>
      </w:r>
      <w:r>
        <w:t xml:space="preserve">for</w:t>
      </w:r>
      <w:r>
        <w:t xml:space="preserve"> </w:t>
      </w:r>
      <w:r>
        <w:t xml:space="preserve">the</w:t>
      </w:r>
      <w:r>
        <w:t xml:space="preserve"> </w:t>
      </w:r>
      <w:r>
        <w:t xml:space="preserve">complexity</w:t>
      </w:r>
      <w:r>
        <w:t xml:space="preserve"> </w:t>
      </w:r>
      <w:r>
        <w:t xml:space="preserve">arising</w:t>
      </w:r>
      <w:r>
        <w:t xml:space="preserve"> </w:t>
      </w:r>
      <w:r>
        <w:t xml:space="preserve">from</w:t>
      </w:r>
      <w:r>
        <w:t xml:space="preserve"> </w:t>
      </w:r>
      <w:r>
        <w:t xml:space="preserve">biotic</w:t>
      </w:r>
      <w:r>
        <w:t xml:space="preserve"> </w:t>
      </w:r>
      <w:r>
        <w:t xml:space="preserve">interactions,</w:t>
      </w:r>
      <w:r>
        <w:t xml:space="preserve"> </w:t>
      </w:r>
      <w:r>
        <w:t xml:space="preserve">demography,</w:t>
      </w:r>
      <w:r>
        <w:t xml:space="preserve"> </w:t>
      </w:r>
      <w:r>
        <w:t xml:space="preserve">and</w:t>
      </w:r>
      <w:r>
        <w:t xml:space="preserve"> </w:t>
      </w:r>
      <w:r>
        <w:t xml:space="preserve">landscape</w:t>
      </w:r>
      <w:r>
        <w:t xml:space="preserve"> </w:t>
      </w:r>
      <w:r>
        <w:t xml:space="preserve">structure.</w:t>
      </w:r>
      <w:r>
        <w:t xml:space="preserve"> </w:t>
      </w:r>
      <w:r>
        <w:t xml:space="preserve">We</w:t>
      </w:r>
      <w:r>
        <w:t xml:space="preserve"> </w:t>
      </w:r>
      <w:r>
        <w:t xml:space="preserve">review</w:t>
      </w:r>
      <w:r>
        <w:t xml:space="preserve"> </w:t>
      </w:r>
      <w:r>
        <w:t xml:space="preserve">the</w:t>
      </w:r>
      <w:r>
        <w:t xml:space="preserve"> </w:t>
      </w:r>
      <w:r>
        <w:t xml:space="preserve">theory</w:t>
      </w:r>
      <w:r>
        <w:t xml:space="preserve"> </w:t>
      </w:r>
      <w:r>
        <w:t xml:space="preserve">for</w:t>
      </w:r>
      <w:r>
        <w:t xml:space="preserve"> </w:t>
      </w:r>
      <w:r>
        <w:t xml:space="preserve">distribution</w:t>
      </w:r>
      <w:r>
        <w:t xml:space="preserve"> </w:t>
      </w:r>
      <w:r>
        <w:t xml:space="preserve">shifts</w:t>
      </w:r>
      <w:r>
        <w:t xml:space="preserve"> </w:t>
      </w:r>
      <w:r>
        <w:t xml:space="preserve">in</w:t>
      </w:r>
      <w:r>
        <w:t xml:space="preserve"> </w:t>
      </w:r>
      <w:r>
        <w:t xml:space="preserve">response</w:t>
      </w:r>
      <w:r>
        <w:t xml:space="preserve"> </w:t>
      </w:r>
      <w:r>
        <w:t xml:space="preserve">to</w:t>
      </w:r>
      <w:r>
        <w:t xml:space="preserve"> </w:t>
      </w:r>
      <w:r>
        <w:t xml:space="preserve">climate</w:t>
      </w:r>
      <w:r>
        <w:t xml:space="preserve"> </w:t>
      </w:r>
      <w:r>
        <w:t xml:space="preserve">change</w:t>
      </w:r>
      <w:r>
        <w:t xml:space="preserve"> </w:t>
      </w:r>
      <w:r>
        <w:t xml:space="preserve">and</w:t>
      </w:r>
      <w:r>
        <w:t xml:space="preserve"> </w:t>
      </w:r>
      <w:r>
        <w:t xml:space="preserve">derive</w:t>
      </w:r>
      <w:r>
        <w:t xml:space="preserve"> </w:t>
      </w:r>
      <w:r>
        <w:t xml:space="preserve">three</w:t>
      </w:r>
      <w:r>
        <w:t xml:space="preserve"> </w:t>
      </w:r>
      <w:r>
        <w:t xml:space="preserve">concepts</w:t>
      </w:r>
      <w:r>
        <w:t xml:space="preserve"> </w:t>
      </w:r>
      <w:r>
        <w:t xml:space="preserve">that</w:t>
      </w:r>
      <w:r>
        <w:t xml:space="preserve"> </w:t>
      </w:r>
      <w:r>
        <w:t xml:space="preserve">contrast</w:t>
      </w:r>
      <w:r>
        <w:t xml:space="preserve"> </w:t>
      </w:r>
      <w:r>
        <w:t xml:space="preserve">with</w:t>
      </w:r>
      <w:r>
        <w:t xml:space="preserve"> </w:t>
      </w:r>
      <w:r>
        <w:t xml:space="preserve">classical</w:t>
      </w:r>
      <w:r>
        <w:t xml:space="preserve"> </w:t>
      </w:r>
      <w:r>
        <w:t xml:space="preserve">approaches:</w:t>
      </w:r>
      <w:r>
        <w:t xml:space="preserve"> </w:t>
      </w:r>
      <w:r>
        <w:t xml:space="preserve">i)</w:t>
      </w:r>
      <w:r>
        <w:t xml:space="preserve"> </w:t>
      </w:r>
      <w:r>
        <w:t xml:space="preserve">habitat-climate</w:t>
      </w:r>
      <w:r>
        <w:t xml:space="preserve"> </w:t>
      </w:r>
      <w:r>
        <w:t xml:space="preserve">mismatch</w:t>
      </w:r>
      <w:r>
        <w:t xml:space="preserve"> </w:t>
      </w:r>
      <w:r>
        <w:t xml:space="preserve">can</w:t>
      </w:r>
      <w:r>
        <w:t xml:space="preserve"> </w:t>
      </w:r>
      <w:r>
        <w:t xml:space="preserve">generate</w:t>
      </w:r>
      <w:r>
        <w:t xml:space="preserve"> </w:t>
      </w:r>
      <w:r>
        <w:t xml:space="preserve">non-equilibrium</w:t>
      </w:r>
      <w:r>
        <w:t xml:space="preserve"> </w:t>
      </w:r>
      <w:r>
        <w:t xml:space="preserve">dynamics,</w:t>
      </w:r>
      <w:r>
        <w:t xml:space="preserve"> </w:t>
      </w:r>
      <w:r>
        <w:t xml:space="preserve">ii)</w:t>
      </w:r>
      <w:r>
        <w:t xml:space="preserve"> </w:t>
      </w:r>
      <w:r>
        <w:t xml:space="preserve">linear</w:t>
      </w:r>
      <w:r>
        <w:t xml:space="preserve"> </w:t>
      </w:r>
      <w:r>
        <w:t xml:space="preserve">change</w:t>
      </w:r>
      <w:r>
        <w:t xml:space="preserve"> </w:t>
      </w:r>
      <w:r>
        <w:t xml:space="preserve">in</w:t>
      </w:r>
      <w:r>
        <w:t xml:space="preserve"> </w:t>
      </w:r>
      <w:r>
        <w:t xml:space="preserve">habitat</w:t>
      </w:r>
      <w:r>
        <w:t xml:space="preserve"> </w:t>
      </w:r>
      <w:r>
        <w:t xml:space="preserve">occupancy</w:t>
      </w:r>
      <w:r>
        <w:t xml:space="preserve"> </w:t>
      </w:r>
      <w:r>
        <w:t xml:space="preserve">generates</w:t>
      </w:r>
      <w:r>
        <w:t xml:space="preserve"> </w:t>
      </w:r>
      <w:r>
        <w:t xml:space="preserve">nonlinear</w:t>
      </w:r>
      <w:r>
        <w:t xml:space="preserve"> </w:t>
      </w:r>
      <w:r>
        <w:t xml:space="preserve">distribution</w:t>
      </w:r>
      <w:r>
        <w:t xml:space="preserve"> </w:t>
      </w:r>
      <w:r>
        <w:t xml:space="preserve">change,</w:t>
      </w:r>
      <w:r>
        <w:t xml:space="preserve"> </w:t>
      </w:r>
      <w:r>
        <w:t xml:space="preserve">and</w:t>
      </w:r>
      <w:r>
        <w:t xml:space="preserve"> </w:t>
      </w:r>
      <w:r>
        <w:t xml:space="preserve">iii)</w:t>
      </w:r>
      <w:r>
        <w:t xml:space="preserve"> </w:t>
      </w:r>
      <w:r>
        <w:t xml:space="preserve">the</w:t>
      </w:r>
      <w:r>
        <w:t xml:space="preserve"> </w:t>
      </w:r>
      <w:r>
        <w:t xml:space="preserve">effect</w:t>
      </w:r>
      <w:r>
        <w:t xml:space="preserve"> </w:t>
      </w:r>
      <w:r>
        <w:t xml:space="preserve">of</w:t>
      </w:r>
      <w:r>
        <w:t xml:space="preserve"> </w:t>
      </w:r>
      <w:r>
        <w:t xml:space="preserve">environmental</w:t>
      </w:r>
      <w:r>
        <w:t xml:space="preserve"> </w:t>
      </w:r>
      <w:r>
        <w:t xml:space="preserve">change</w:t>
      </w:r>
      <w:r>
        <w:t xml:space="preserve"> </w:t>
      </w:r>
      <w:r>
        <w:t xml:space="preserve">on</w:t>
      </w:r>
      <w:r>
        <w:t xml:space="preserve"> </w:t>
      </w:r>
      <w:r>
        <w:t xml:space="preserve">habitats</w:t>
      </w:r>
      <w:r>
        <w:t xml:space="preserve"> </w:t>
      </w:r>
      <w:r>
        <w:t xml:space="preserve">can</w:t>
      </w:r>
      <w:r>
        <w:t xml:space="preserve"> </w:t>
      </w:r>
      <w:r>
        <w:t xml:space="preserve">propagate</w:t>
      </w:r>
      <w:r>
        <w:t xml:space="preserve"> </w:t>
      </w:r>
      <w:r>
        <w:t xml:space="preserve">up</w:t>
      </w:r>
      <w:r>
        <w:t xml:space="preserve"> </w:t>
      </w:r>
      <w:r>
        <w:t xml:space="preserve">and</w:t>
      </w:r>
      <w:r>
        <w:t xml:space="preserve"> </w:t>
      </w:r>
      <w:r>
        <w:t xml:space="preserve">have</w:t>
      </w:r>
      <w:r>
        <w:t xml:space="preserve"> </w:t>
      </w:r>
      <w:r>
        <w:t xml:space="preserve">counterintuitive</w:t>
      </w:r>
      <w:r>
        <w:t xml:space="preserve"> </w:t>
      </w:r>
      <w:r>
        <w:t xml:space="preserve">effects</w:t>
      </w:r>
      <w:r>
        <w:t xml:space="preserve"> </w:t>
      </w:r>
      <w:r>
        <w:t xml:space="preserve">on</w:t>
      </w:r>
      <w:r>
        <w:t xml:space="preserve"> </w:t>
      </w:r>
      <w:r>
        <w:t xml:space="preserve">higher</w:t>
      </w:r>
      <w:r>
        <w:t xml:space="preserve"> </w:t>
      </w:r>
      <w:r>
        <w:t xml:space="preserve">trophic</w:t>
      </w:r>
      <w:r>
        <w:t xml:space="preserve"> </w:t>
      </w:r>
      <w:r>
        <w:t xml:space="preserve">levels.</w:t>
      </w:r>
      <w:r>
        <w:t xml:space="preserve"> </w:t>
      </w:r>
      <w:r>
        <w:t xml:space="preserve">We</w:t>
      </w:r>
      <w:r>
        <w:t xml:space="preserve"> </w:t>
      </w:r>
      <w:r>
        <w:t xml:space="preserve">illustrate</w:t>
      </w:r>
      <w:r>
        <w:t xml:space="preserve"> </w:t>
      </w:r>
      <w:r>
        <w:t xml:space="preserve">the</w:t>
      </w:r>
      <w:r>
        <w:t xml:space="preserve"> </w:t>
      </w:r>
      <w:r>
        <w:t xml:space="preserve">theory</w:t>
      </w:r>
      <w:r>
        <w:t xml:space="preserve"> </w:t>
      </w:r>
      <w:r>
        <w:t xml:space="preserve">through</w:t>
      </w:r>
      <w:r>
        <w:t xml:space="preserve"> </w:t>
      </w:r>
      <w:r>
        <w:t xml:space="preserve">a</w:t>
      </w:r>
      <w:r>
        <w:t xml:space="preserve"> </w:t>
      </w:r>
      <w:r>
        <w:t xml:space="preserve">study</w:t>
      </w:r>
      <w:r>
        <w:t xml:space="preserve"> </w:t>
      </w:r>
      <w:r>
        <w:t xml:space="preserve">of</w:t>
      </w:r>
      <w:r>
        <w:t xml:space="preserve"> </w:t>
      </w:r>
      <w:r>
        <w:t xml:space="preserve">habitat</w:t>
      </w:r>
      <w:r>
        <w:t xml:space="preserve"> </w:t>
      </w:r>
      <w:r>
        <w:t xml:space="preserve">suitability</w:t>
      </w:r>
      <w:r>
        <w:t xml:space="preserve"> </w:t>
      </w:r>
      <w:r>
        <w:t xml:space="preserve">within</w:t>
      </w:r>
      <w:r>
        <w:t xml:space="preserve"> </w:t>
      </w:r>
      <w:r>
        <w:t xml:space="preserve">the</w:t>
      </w:r>
      <w:r>
        <w:t xml:space="preserve"> </w:t>
      </w:r>
      <w:r>
        <w:t xml:space="preserve">Bicknell’s</w:t>
      </w:r>
      <w:r>
        <w:t xml:space="preserve"> </w:t>
      </w:r>
      <w:r>
        <w:t xml:space="preserve">Thrush</w:t>
      </w:r>
      <w:r>
        <w:t xml:space="preserve"> </w:t>
      </w:r>
      <w:r>
        <w:t xml:space="preserve">(</w:t>
      </w:r>
      <w:r>
        <w:rPr>
          <w:i/>
        </w:rPr>
        <w:t xml:space="preserve">Catharus</w:t>
      </w:r>
      <w:r>
        <w:rPr>
          <w:i/>
        </w:rPr>
        <w:t xml:space="preserve"> </w:t>
      </w:r>
      <w:r>
        <w:rPr>
          <w:i/>
        </w:rPr>
        <w:t xml:space="preserve">bicknelli</w:t>
      </w:r>
      <w:r>
        <w:t xml:space="preserve">)</w:t>
      </w:r>
      <w:r>
        <w:t xml:space="preserve"> </w:t>
      </w:r>
      <w:r>
        <w:t xml:space="preserve">distribution,</w:t>
      </w:r>
      <w:r>
        <w:t xml:space="preserve"> </w:t>
      </w:r>
      <w:r>
        <w:t xml:space="preserve">a</w:t>
      </w:r>
      <w:r>
        <w:t xml:space="preserve"> </w:t>
      </w:r>
      <w:r>
        <w:t xml:space="preserve">threatened</w:t>
      </w:r>
      <w:r>
        <w:t xml:space="preserve"> </w:t>
      </w:r>
      <w:r>
        <w:t xml:space="preserve">bird</w:t>
      </w:r>
      <w:r>
        <w:t xml:space="preserve"> </w:t>
      </w:r>
      <w:r>
        <w:t xml:space="preserve">whose</w:t>
      </w:r>
      <w:r>
        <w:t xml:space="preserve"> </w:t>
      </w:r>
      <w:r>
        <w:t xml:space="preserve">patchy</w:t>
      </w:r>
      <w:r>
        <w:t xml:space="preserve"> </w:t>
      </w:r>
      <w:r>
        <w:t xml:space="preserve">distribution</w:t>
      </w:r>
      <w:r>
        <w:t xml:space="preserve"> </w:t>
      </w:r>
      <w:r>
        <w:t xml:space="preserve">is</w:t>
      </w:r>
      <w:r>
        <w:t xml:space="preserve"> </w:t>
      </w:r>
      <w:r>
        <w:t xml:space="preserve">restricted</w:t>
      </w:r>
      <w:r>
        <w:t xml:space="preserve"> </w:t>
      </w:r>
      <w:r>
        <w:t xml:space="preserve">to</w:t>
      </w:r>
      <w:r>
        <w:t xml:space="preserve"> </w:t>
      </w:r>
      <w:r>
        <w:t xml:space="preserve">dense</w:t>
      </w:r>
      <w:r>
        <w:t xml:space="preserve"> </w:t>
      </w:r>
      <w:r>
        <w:t xml:space="preserve">balsam</w:t>
      </w:r>
      <w:r>
        <w:t xml:space="preserve"> </w:t>
      </w:r>
      <w:r>
        <w:t xml:space="preserve">fir</w:t>
      </w:r>
      <w:r>
        <w:t xml:space="preserve"> </w:t>
      </w:r>
      <w:r>
        <w:t xml:space="preserve">forests</w:t>
      </w:r>
      <w:r>
        <w:t xml:space="preserve"> </w:t>
      </w:r>
      <w:r>
        <w:t xml:space="preserve">generally</w:t>
      </w:r>
      <w:r>
        <w:t xml:space="preserve"> </w:t>
      </w:r>
      <w:r>
        <w:t xml:space="preserve">found</w:t>
      </w:r>
      <w:r>
        <w:t xml:space="preserve"> </w:t>
      </w:r>
      <w:r>
        <w:t xml:space="preserve">at</w:t>
      </w:r>
      <w:r>
        <w:t xml:space="preserve"> </w:t>
      </w:r>
      <w:r>
        <w:t xml:space="preserve">high</w:t>
      </w:r>
      <w:r>
        <w:t xml:space="preserve"> </w:t>
      </w:r>
      <w:r>
        <w:t xml:space="preserve">elevation.</w:t>
      </w:r>
      <w:r>
        <w:t xml:space="preserve"> </w:t>
      </w:r>
      <w:r>
        <w:t xml:space="preserve">Under</w:t>
      </w:r>
      <w:r>
        <w:t xml:space="preserve"> </w:t>
      </w:r>
      <w:r>
        <w:t xml:space="preserve">climate</w:t>
      </w:r>
      <w:r>
        <w:t xml:space="preserve"> </w:t>
      </w:r>
      <w:r>
        <w:t xml:space="preserve">warming,</w:t>
      </w:r>
      <w:r>
        <w:t xml:space="preserve"> </w:t>
      </w:r>
      <w:r>
        <w:t xml:space="preserve">we</w:t>
      </w:r>
      <w:r>
        <w:t xml:space="preserve"> </w:t>
      </w:r>
      <w:r>
        <w:t xml:space="preserve">observe</w:t>
      </w:r>
      <w:r>
        <w:t xml:space="preserve"> </w:t>
      </w:r>
      <w:r>
        <w:t xml:space="preserve">from</w:t>
      </w:r>
      <w:r>
        <w:t xml:space="preserve"> </w:t>
      </w:r>
      <w:r>
        <w:t xml:space="preserve">the</w:t>
      </w:r>
      <w:r>
        <w:t xml:space="preserve"> </w:t>
      </w:r>
      <w:r>
        <w:t xml:space="preserve">effect</w:t>
      </w:r>
      <w:r>
        <w:t xml:space="preserve"> </w:t>
      </w:r>
      <w:r>
        <w:t xml:space="preserve">of</w:t>
      </w:r>
      <w:r>
        <w:t xml:space="preserve"> </w:t>
      </w:r>
      <w:r>
        <w:t xml:space="preserve">climate</w:t>
      </w:r>
      <w:r>
        <w:t xml:space="preserve"> </w:t>
      </w:r>
      <w:r>
        <w:t xml:space="preserve">alone</w:t>
      </w:r>
      <w:r>
        <w:t xml:space="preserve"> </w:t>
      </w:r>
      <w:r>
        <w:t xml:space="preserve">a</w:t>
      </w:r>
      <w:r>
        <w:t xml:space="preserve"> </w:t>
      </w:r>
      <w:r>
        <w:t xml:space="preserve">northward</w:t>
      </w:r>
      <w:r>
        <w:t xml:space="preserve"> </w:t>
      </w:r>
      <w:r>
        <w:t xml:space="preserve">expansion</w:t>
      </w:r>
      <w:r>
        <w:t xml:space="preserve"> </w:t>
      </w:r>
      <w:r>
        <w:t xml:space="preserve">associated</w:t>
      </w:r>
      <w:r>
        <w:t xml:space="preserve"> </w:t>
      </w:r>
      <w:r>
        <w:t xml:space="preserve">with</w:t>
      </w:r>
      <w:r>
        <w:t xml:space="preserve"> </w:t>
      </w:r>
      <w:r>
        <w:t xml:space="preserve">an</w:t>
      </w:r>
      <w:r>
        <w:t xml:space="preserve"> </w:t>
      </w:r>
      <w:r>
        <w:t xml:space="preserve">important</w:t>
      </w:r>
      <w:r>
        <w:t xml:space="preserve"> </w:t>
      </w:r>
      <w:r>
        <w:t xml:space="preserve">southern</w:t>
      </w:r>
      <w:r>
        <w:t xml:space="preserve"> </w:t>
      </w:r>
      <w:r>
        <w:t xml:space="preserve">range</w:t>
      </w:r>
      <w:r>
        <w:t xml:space="preserve"> </w:t>
      </w:r>
      <w:r>
        <w:t xml:space="preserve">contraction.</w:t>
      </w:r>
      <w:r>
        <w:t xml:space="preserve"> </w:t>
      </w:r>
      <w:r>
        <w:t xml:space="preserve">In</w:t>
      </w:r>
      <w:r>
        <w:t xml:space="preserve"> </w:t>
      </w:r>
      <w:r>
        <w:t xml:space="preserve">contrast,</w:t>
      </w:r>
      <w:r>
        <w:t xml:space="preserve"> </w:t>
      </w:r>
      <w:r>
        <w:t xml:space="preserve">the</w:t>
      </w:r>
      <w:r>
        <w:t xml:space="preserve"> </w:t>
      </w:r>
      <w:r>
        <w:t xml:space="preserve">distribution</w:t>
      </w:r>
      <w:r>
        <w:t xml:space="preserve"> </w:t>
      </w:r>
      <w:r>
        <w:t xml:space="preserve">of</w:t>
      </w:r>
      <w:r>
        <w:t xml:space="preserve"> </w:t>
      </w:r>
      <w:r>
        <w:t xml:space="preserve">associated</w:t>
      </w:r>
      <w:r>
        <w:t xml:space="preserve"> </w:t>
      </w:r>
      <w:r>
        <w:t xml:space="preserve">vegetation</w:t>
      </w:r>
      <w:r>
        <w:t xml:space="preserve"> </w:t>
      </w:r>
      <w:r>
        <w:t xml:space="preserve">remains</w:t>
      </w:r>
      <w:r>
        <w:t xml:space="preserve"> </w:t>
      </w:r>
      <w:r>
        <w:t xml:space="preserve">geographically</w:t>
      </w:r>
      <w:r>
        <w:t xml:space="preserve"> </w:t>
      </w:r>
      <w:r>
        <w:t xml:space="preserve">stable</w:t>
      </w:r>
      <w:r>
        <w:t xml:space="preserve"> </w:t>
      </w:r>
      <w:r>
        <w:t xml:space="preserve">despite</w:t>
      </w:r>
      <w:r>
        <w:t xml:space="preserve"> </w:t>
      </w:r>
      <w:r>
        <w:t xml:space="preserve">warming.</w:t>
      </w:r>
      <w:r>
        <w:t xml:space="preserve"> </w:t>
      </w:r>
      <w:r>
        <w:t xml:space="preserve">An</w:t>
      </w:r>
      <w:r>
        <w:t xml:space="preserve"> </w:t>
      </w:r>
      <w:r>
        <w:t xml:space="preserve">arising</w:t>
      </w:r>
      <w:r>
        <w:t xml:space="preserve"> </w:t>
      </w:r>
      <w:r>
        <w:t xml:space="preserve">mismatch</w:t>
      </w:r>
      <w:r>
        <w:t xml:space="preserve"> </w:t>
      </w:r>
      <w:r>
        <w:t xml:space="preserve">between</w:t>
      </w:r>
      <w:r>
        <w:t xml:space="preserve"> </w:t>
      </w:r>
      <w:r>
        <w:t xml:space="preserve">climate</w:t>
      </w:r>
      <w:r>
        <w:t xml:space="preserve"> </w:t>
      </w:r>
      <w:r>
        <w:t xml:space="preserve">and</w:t>
      </w:r>
      <w:r>
        <w:t xml:space="preserve"> </w:t>
      </w:r>
      <w:r>
        <w:t xml:space="preserve">vegetation</w:t>
      </w:r>
      <w:r>
        <w:t xml:space="preserve"> </w:t>
      </w:r>
      <w:r>
        <w:t xml:space="preserve">drives</w:t>
      </w:r>
      <w:r>
        <w:t xml:space="preserve"> </w:t>
      </w:r>
      <w:r>
        <w:t xml:space="preserve">important</w:t>
      </w:r>
      <w:r>
        <w:t xml:space="preserve"> </w:t>
      </w:r>
      <w:r>
        <w:t xml:space="preserve">changes</w:t>
      </w:r>
      <w:r>
        <w:t xml:space="preserve"> </w:t>
      </w:r>
      <w:r>
        <w:t xml:space="preserve">to</w:t>
      </w:r>
      <w:r>
        <w:t xml:space="preserve"> </w:t>
      </w:r>
      <w:r>
        <w:t xml:space="preserve">the</w:t>
      </w:r>
      <w:r>
        <w:t xml:space="preserve"> </w:t>
      </w:r>
      <w:r>
        <w:t xml:space="preserve">spatial</w:t>
      </w:r>
      <w:r>
        <w:t xml:space="preserve"> </w:t>
      </w:r>
      <w:r>
        <w:t xml:space="preserve">structure</w:t>
      </w:r>
      <w:r>
        <w:t xml:space="preserve"> </w:t>
      </w:r>
      <w:r>
        <w:t xml:space="preserve">of</w:t>
      </w:r>
      <w:r>
        <w:t xml:space="preserve"> </w:t>
      </w:r>
      <w:r>
        <w:t xml:space="preserve">suitable</w:t>
      </w:r>
      <w:r>
        <w:t xml:space="preserve"> </w:t>
      </w:r>
      <w:r>
        <w:t xml:space="preserve">habitat</w:t>
      </w:r>
      <w:r>
        <w:t xml:space="preserve"> </w:t>
      </w:r>
      <w:r>
        <w:t xml:space="preserve">patches.</w:t>
      </w:r>
      <w:r>
        <w:t xml:space="preserve"> </w:t>
      </w:r>
      <w:r>
        <w:t xml:space="preserve">Patch</w:t>
      </w:r>
      <w:r>
        <w:t xml:space="preserve"> </w:t>
      </w:r>
      <w:r>
        <w:t xml:space="preserve">area,</w:t>
      </w:r>
      <w:r>
        <w:t xml:space="preserve"> </w:t>
      </w:r>
      <w:r>
        <w:t xml:space="preserve">connectivity,</w:t>
      </w:r>
      <w:r>
        <w:t xml:space="preserve"> </w:t>
      </w:r>
      <w:r>
        <w:t xml:space="preserve">and</w:t>
      </w:r>
      <w:r>
        <w:t xml:space="preserve"> </w:t>
      </w:r>
      <w:r>
        <w:t xml:space="preserve">habitat</w:t>
      </w:r>
      <w:r>
        <w:t xml:space="preserve"> </w:t>
      </w:r>
      <w:r>
        <w:t xml:space="preserve">amount</w:t>
      </w:r>
      <w:r>
        <w:t xml:space="preserve"> </w:t>
      </w:r>
      <w:r>
        <w:t xml:space="preserve">can</w:t>
      </w:r>
      <w:r>
        <w:t xml:space="preserve"> </w:t>
      </w:r>
      <w:r>
        <w:t xml:space="preserve">be</w:t>
      </w:r>
      <w:r>
        <w:t xml:space="preserve"> </w:t>
      </w:r>
      <w:r>
        <w:t xml:space="preserve">differently</w:t>
      </w:r>
      <w:r>
        <w:t xml:space="preserve"> </w:t>
      </w:r>
      <w:r>
        <w:t xml:space="preserve">affected</w:t>
      </w:r>
      <w:r>
        <w:t xml:space="preserve"> </w:t>
      </w:r>
      <w:r>
        <w:t xml:space="preserve">by</w:t>
      </w:r>
      <w:r>
        <w:t xml:space="preserve"> </w:t>
      </w:r>
      <w:r>
        <w:t xml:space="preserve">climate</w:t>
      </w:r>
      <w:r>
        <w:t xml:space="preserve"> </w:t>
      </w:r>
      <w:r>
        <w:t xml:space="preserve">change,</w:t>
      </w:r>
      <w:r>
        <w:t xml:space="preserve"> </w:t>
      </w:r>
      <w:r>
        <w:t xml:space="preserve">which</w:t>
      </w:r>
      <w:r>
        <w:t xml:space="preserve"> </w:t>
      </w:r>
      <w:r>
        <w:t xml:space="preserve">influence</w:t>
      </w:r>
      <w:r>
        <w:t xml:space="preserve"> </w:t>
      </w:r>
      <w:r>
        <w:t xml:space="preserve">species</w:t>
      </w:r>
      <w:r>
        <w:t xml:space="preserve"> </w:t>
      </w:r>
      <w:r>
        <w:t xml:space="preserve">persistence,</w:t>
      </w:r>
      <w:r>
        <w:t xml:space="preserve"> </w:t>
      </w:r>
      <w:r>
        <w:t xml:space="preserve">suggesting</w:t>
      </w:r>
      <w:r>
        <w:t xml:space="preserve"> </w:t>
      </w:r>
      <w:r>
        <w:t xml:space="preserve">that</w:t>
      </w:r>
      <w:r>
        <w:t xml:space="preserve"> </w:t>
      </w:r>
      <w:r>
        <w:t xml:space="preserve">habitat</w:t>
      </w:r>
      <w:r>
        <w:t xml:space="preserve"> </w:t>
      </w:r>
      <w:r>
        <w:t xml:space="preserve">amount</w:t>
      </w:r>
      <w:r>
        <w:t xml:space="preserve"> </w:t>
      </w:r>
      <w:r>
        <w:t xml:space="preserve">alone</w:t>
      </w:r>
      <w:r>
        <w:t xml:space="preserve"> </w:t>
      </w:r>
      <w:r>
        <w:t xml:space="preserve">is</w:t>
      </w:r>
      <w:r>
        <w:t xml:space="preserve"> </w:t>
      </w:r>
      <w:r>
        <w:t xml:space="preserve">not</w:t>
      </w:r>
      <w:r>
        <w:t xml:space="preserve"> </w:t>
      </w:r>
      <w:r>
        <w:t xml:space="preserve">enough</w:t>
      </w:r>
      <w:r>
        <w:t xml:space="preserve"> </w:t>
      </w:r>
      <w:r>
        <w:t xml:space="preserve">to</w:t>
      </w:r>
      <w:r>
        <w:t xml:space="preserve"> </w:t>
      </w:r>
      <w:r>
        <w:t xml:space="preserve">characterize</w:t>
      </w:r>
      <w:r>
        <w:t xml:space="preserve"> </w:t>
      </w:r>
      <w:r>
        <w:t xml:space="preserve">regional</w:t>
      </w:r>
      <w:r>
        <w:t xml:space="preserve"> </w:t>
      </w:r>
      <w:r>
        <w:t xml:space="preserve">distribution</w:t>
      </w:r>
      <w:r>
        <w:t xml:space="preserve"> </w:t>
      </w:r>
      <w:r>
        <w:t xml:space="preserve">changes.</w:t>
      </w:r>
      <w:r>
        <w:t xml:space="preserve"> </w:t>
      </w:r>
      <w:r>
        <w:t xml:space="preserve">Our</w:t>
      </w:r>
      <w:r>
        <w:t xml:space="preserve"> </w:t>
      </w:r>
      <w:r>
        <w:t xml:space="preserve">results</w:t>
      </w:r>
      <w:r>
        <w:t xml:space="preserve"> </w:t>
      </w:r>
      <w:r>
        <w:t xml:space="preserve">support</w:t>
      </w:r>
      <w:r>
        <w:t xml:space="preserve"> </w:t>
      </w:r>
      <w:r>
        <w:t xml:space="preserve">the</w:t>
      </w:r>
      <w:r>
        <w:t xml:space="preserve"> </w:t>
      </w:r>
      <w:r>
        <w:t xml:space="preserve">importance</w:t>
      </w:r>
      <w:r>
        <w:t xml:space="preserve"> </w:t>
      </w:r>
      <w:r>
        <w:t xml:space="preserve">of</w:t>
      </w:r>
      <w:r>
        <w:t xml:space="preserve"> </w:t>
      </w:r>
      <w:r>
        <w:t xml:space="preserve">integrating</w:t>
      </w:r>
      <w:r>
        <w:t xml:space="preserve"> </w:t>
      </w:r>
      <w:r>
        <w:t xml:space="preserve">both</w:t>
      </w:r>
      <w:r>
        <w:t xml:space="preserve"> </w:t>
      </w:r>
      <w:r>
        <w:t xml:space="preserve">habitat</w:t>
      </w:r>
      <w:r>
        <w:t xml:space="preserve"> </w:t>
      </w:r>
      <w:r>
        <w:t xml:space="preserve">amount</w:t>
      </w:r>
      <w:r>
        <w:t xml:space="preserve"> </w:t>
      </w:r>
      <w:r>
        <w:t xml:space="preserve">(biotic</w:t>
      </w:r>
      <w:r>
        <w:t xml:space="preserve"> </w:t>
      </w:r>
      <w:r>
        <w:t xml:space="preserve">and</w:t>
      </w:r>
      <w:r>
        <w:t xml:space="preserve"> </w:t>
      </w:r>
      <w:r>
        <w:t xml:space="preserve">abiotic)</w:t>
      </w:r>
      <w:r>
        <w:t xml:space="preserve"> </w:t>
      </w:r>
      <w:r>
        <w:t xml:space="preserve">and</w:t>
      </w:r>
      <w:r>
        <w:t xml:space="preserve"> </w:t>
      </w:r>
      <w:r>
        <w:t xml:space="preserve">landscape</w:t>
      </w:r>
      <w:r>
        <w:t xml:space="preserve"> </w:t>
      </w:r>
      <w:r>
        <w:t xml:space="preserve">spatial</w:t>
      </w:r>
      <w:r>
        <w:t xml:space="preserve"> </w:t>
      </w:r>
      <w:r>
        <w:t xml:space="preserve">structure</w:t>
      </w:r>
      <w:r>
        <w:t xml:space="preserve"> </w:t>
      </w:r>
      <w:r>
        <w:t xml:space="preserve">in</w:t>
      </w:r>
      <w:r>
        <w:t xml:space="preserve"> </w:t>
      </w:r>
      <w:r>
        <w:t xml:space="preserve">the</w:t>
      </w:r>
      <w:r>
        <w:t xml:space="preserve"> </w:t>
      </w:r>
      <w:r>
        <w:t xml:space="preserve">assessment</w:t>
      </w:r>
      <w:r>
        <w:t xml:space="preserve"> </w:t>
      </w:r>
      <w:r>
        <w:t xml:space="preserve">of</w:t>
      </w:r>
      <w:r>
        <w:t xml:space="preserve"> </w:t>
      </w:r>
      <w:r>
        <w:t xml:space="preserve">persistence</w:t>
      </w:r>
      <w:r>
        <w:t xml:space="preserve"> </w:t>
      </w:r>
      <w:r>
        <w:t xml:space="preserve">for</w:t>
      </w:r>
      <w:r>
        <w:t xml:space="preserve"> </w:t>
      </w:r>
      <w:r>
        <w:t xml:space="preserve">which</w:t>
      </w:r>
      <w:r>
        <w:t xml:space="preserve"> </w:t>
      </w:r>
      <w:r>
        <w:t xml:space="preserve">the</w:t>
      </w:r>
      <w:r>
        <w:t xml:space="preserve"> </w:t>
      </w:r>
      <w:r>
        <w:t xml:space="preserve">metapopulation</w:t>
      </w:r>
      <w:r>
        <w:t xml:space="preserve"> </w:t>
      </w:r>
      <w:r>
        <w:t xml:space="preserve">theory</w:t>
      </w:r>
      <w:r>
        <w:t xml:space="preserve"> </w:t>
      </w:r>
      <w:r>
        <w:t xml:space="preserve">may</w:t>
      </w:r>
      <w:r>
        <w:t xml:space="preserve"> </w:t>
      </w:r>
      <w:r>
        <w:t xml:space="preserve">be</w:t>
      </w:r>
      <w:r>
        <w:t xml:space="preserve"> </w:t>
      </w:r>
      <w:r>
        <w:t xml:space="preserve">an</w:t>
      </w:r>
      <w:r>
        <w:t xml:space="preserve"> </w:t>
      </w:r>
      <w:r>
        <w:t xml:space="preserve">ideal</w:t>
      </w:r>
      <w:r>
        <w:t xml:space="preserve"> </w:t>
      </w:r>
      <w:r>
        <w:t xml:space="preserve">framework.</w:t>
      </w:r>
    </w:p>
    <w:p>
      <w:pPr>
        <w:pStyle w:val="FirstParagraph"/>
      </w:pPr>
      <w:r>
        <w:rPr>
          <w:b/>
        </w:rPr>
        <w:t xml:space="preserve">Keywords</w:t>
      </w:r>
      <w:r>
        <w:t xml:space="preserve">: Climate change, Metapopulation</w:t>
      </w:r>
      <w:r>
        <w:t xml:space="preserve"> </w:t>
      </w:r>
      <w:r>
        <w:t xml:space="preserve">theory, Species distribution, Range shift, Transient dynamics</w:t>
      </w:r>
    </w:p>
    <w:p>
      <w:pPr>
        <w:pStyle w:val="BodyText"/>
      </w:pPr>
      <w:r>
        <w:rPr>
          <w:b/>
        </w:rPr>
        <w:t xml:space="preserve">Data availability</w:t>
      </w:r>
      <w:r>
        <w:t xml:space="preserve">: We performed all analyses in the R</w:t>
      </w:r>
      <w:r>
        <w:t xml:space="preserve"> </w:t>
      </w:r>
      <w:r>
        <w:t xml:space="preserve">programming language (</w:t>
      </w:r>
      <w:r>
        <w:rPr>
          <w:b/>
        </w:rPr>
        <w:t xml:space="preserve">???</w:t>
      </w:r>
      <w:r>
        <w:t xml:space="preserve">) and the code necessary to</w:t>
      </w:r>
      <w:r>
        <w:t xml:space="preserve"> </w:t>
      </w:r>
      <w:r>
        <w:t xml:space="preserve">reproduce the analyses, figures, and manuscript are stored as a research</w:t>
      </w:r>
      <w:r>
        <w:t xml:space="preserve"> </w:t>
      </w:r>
      <w:r>
        <w:t xml:space="preserve">compendium at</w:t>
      </w:r>
      <w:r>
        <w:t xml:space="preserve"> </w:t>
      </w:r>
      <w:hyperlink r:id="rId20">
        <w:r>
          <w:rPr>
            <w:rStyle w:val="Hyperlink"/>
          </w:rPr>
          <w:t xml:space="preserve">https://github.com/vcameron1/Metapop_ms</w:t>
        </w:r>
      </w:hyperlink>
      <w:r>
        <w:t xml:space="preserve">. The data</w:t>
      </w:r>
      <w:r>
        <w:t xml:space="preserve"> </w:t>
      </w:r>
      <w:r>
        <w:t xml:space="preserve">that support the study are available from the Regroupement QuébecOiseaux</w:t>
      </w:r>
      <w:r>
        <w:t xml:space="preserve"> </w:t>
      </w:r>
      <w:r>
        <w:t xml:space="preserve">(RQO), McKenney et al.</w:t>
      </w:r>
      <w:r>
        <w:t xml:space="preserve"> </w:t>
      </w:r>
      <w:r>
        <w:t xml:space="preserve">(</w:t>
      </w:r>
      <w:hyperlink w:anchor="ref-mckenney_spatial_2013">
        <w:r>
          <w:rPr>
            <w:rStyle w:val="Hyperlink"/>
          </w:rPr>
          <w:t xml:space="preserve">2013</w:t>
        </w:r>
      </w:hyperlink>
      <w:r>
        <w:t xml:space="preserve">) and Boulanger and</w:t>
      </w:r>
      <w:r>
        <w:t xml:space="preserve"> </w:t>
      </w:r>
      <w:r>
        <w:t xml:space="preserve">Pascual Puigdevall</w:t>
      </w:r>
      <w:r>
        <w:t xml:space="preserve"> </w:t>
      </w:r>
      <w:r>
        <w:t xml:space="preserve">(</w:t>
      </w:r>
      <w:hyperlink w:anchor="ref-boulanger_boreal_2021">
        <w:r>
          <w:rPr>
            <w:rStyle w:val="Hyperlink"/>
          </w:rPr>
          <w:t xml:space="preserve">2021</w:t>
        </w:r>
      </w:hyperlink>
      <w:r>
        <w:t xml:space="preserve">). Restrictions</w:t>
      </w:r>
      <w:r>
        <w:t xml:space="preserve"> </w:t>
      </w:r>
      <w:r>
        <w:t xml:space="preserve">apply to the availability of RQO data, which were used under license for</w:t>
      </w:r>
      <w:r>
        <w:t xml:space="preserve"> </w:t>
      </w:r>
      <w:r>
        <w:t xml:space="preserve">the current study, and so are not publicly available. Data are, however,</w:t>
      </w:r>
      <w:r>
        <w:t xml:space="preserve"> </w:t>
      </w:r>
      <w:r>
        <w:t xml:space="preserve">available from the authors upon reasonable request and with written</w:t>
      </w:r>
      <w:r>
        <w:t xml:space="preserve"> </w:t>
      </w:r>
      <w:r>
        <w:t xml:space="preserve">permission of RQO. Data from Boulanger and Pascual Puigdevall</w:t>
      </w:r>
      <w:r>
        <w:t xml:space="preserve"> </w:t>
      </w:r>
      <w:r>
        <w:t xml:space="preserve">(</w:t>
      </w:r>
      <w:hyperlink w:anchor="ref-boulanger_boreal_2021">
        <w:r>
          <w:rPr>
            <w:rStyle w:val="Hyperlink"/>
          </w:rPr>
          <w:t xml:space="preserve">2021</w:t>
        </w:r>
      </w:hyperlink>
      <w:r>
        <w:t xml:space="preserve">) are available from</w:t>
      </w:r>
      <w:r>
        <w:t xml:space="preserve"> </w:t>
      </w:r>
      <w:r>
        <w:t xml:space="preserve">its authors upon request.</w:t>
      </w:r>
      <w:r>
        <w:br/>
      </w:r>
      <w:r>
        <w:br/>
      </w:r>
      <w:r>
        <w:rPr>
          <w:b/>
        </w:rPr>
        <w:t xml:space="preserve">Funding</w:t>
      </w:r>
      <w:r>
        <w:t xml:space="preserve">: This research was supported by the BIOS² NSERC</w:t>
      </w:r>
      <w:r>
        <w:t xml:space="preserve"> </w:t>
      </w:r>
      <w:r>
        <w:t xml:space="preserve">CREATE program. D.G. was supported by research grants from the Canada</w:t>
      </w:r>
      <w:r>
        <w:t xml:space="preserve"> </w:t>
      </w:r>
      <w:r>
        <w:t xml:space="preserve">Research Chair program and the Natural Sciences and Engineering Research</w:t>
      </w:r>
      <w:r>
        <w:t xml:space="preserve"> </w:t>
      </w:r>
      <w:r>
        <w:t xml:space="preserve">Council of Canada (NSERC).</w:t>
      </w:r>
      <w:r>
        <w:br/>
      </w:r>
      <w:r>
        <w:br/>
      </w:r>
      <w:r>
        <w:rPr>
          <w:b/>
        </w:rPr>
        <w:t xml:space="preserve">Authorship</w:t>
      </w:r>
      <w:r>
        <w:t xml:space="preserve">: VC and DG designed the study. VC, DG, and GB</w:t>
      </w:r>
      <w:r>
        <w:t xml:space="preserve"> </w:t>
      </w:r>
      <w:r>
        <w:t xml:space="preserve">conceived the case-study model and YB and JT contributed expert</w:t>
      </w:r>
      <w:r>
        <w:t xml:space="preserve"> </w:t>
      </w:r>
      <w:r>
        <w:t xml:space="preserve">knowledge in its development. VC developed the scripts to run the model</w:t>
      </w:r>
      <w:r>
        <w:t xml:space="preserve"> </w:t>
      </w:r>
      <w:r>
        <w:t xml:space="preserve">and analyze the simulations, and wrote the first draft of the</w:t>
      </w:r>
      <w:r>
        <w:t xml:space="preserve"> </w:t>
      </w:r>
      <w:r>
        <w:t xml:space="preserve">manuscript. All authors contributed to revisions.</w:t>
      </w:r>
      <w:r>
        <w:br/>
      </w:r>
      <w:r>
        <w:rPr>
          <w:b/>
        </w:rPr>
        <w:t xml:space="preserve">Conflicts of interest</w:t>
      </w:r>
      <w:r>
        <w:t xml:space="preserve">: The authors declare no conflict of</w:t>
      </w:r>
      <w:r>
        <w:t xml:space="preserve"> </w:t>
      </w:r>
      <w:r>
        <w:t xml:space="preserve">interest.</w:t>
      </w:r>
      <w:r>
        <w:br/>
      </w:r>
      <w:r>
        <w:br/>
      </w:r>
    </w:p>
    <w:bookmarkStart w:id="21" w:name="introduction"/>
    <w:p>
      <w:pPr>
        <w:pStyle w:val="Heading1"/>
      </w:pPr>
      <w:r>
        <w:t xml:space="preserve">Introduction</w:t>
      </w:r>
    </w:p>
    <w:p>
      <w:pPr>
        <w:pStyle w:val="FirstParagraph"/>
      </w:pPr>
      <w:r>
        <w:t xml:space="preserve">Climate change has already prompted species to shift their range toward</w:t>
      </w:r>
      <w:r>
        <w:t xml:space="preserve"> </w:t>
      </w:r>
      <w:r>
        <w:t xml:space="preserve">higher latitudes and elevations (Chen et al.</w:t>
      </w:r>
      <w:r>
        <w:t xml:space="preserve"> </w:t>
      </w:r>
      <w:hyperlink w:anchor="ref-chen_rapid_2011">
        <w:r>
          <w:rPr>
            <w:rStyle w:val="Hyperlink"/>
          </w:rPr>
          <w:t xml:space="preserve">2011</w:t>
        </w:r>
      </w:hyperlink>
      <w:r>
        <w:t xml:space="preserve">, Parmesan</w:t>
      </w:r>
      <w:r>
        <w:t xml:space="preserve"> </w:t>
      </w:r>
      <w:hyperlink w:anchor="ref-parmesan_ecological_2006">
        <w:r>
          <w:rPr>
            <w:rStyle w:val="Hyperlink"/>
          </w:rPr>
          <w:t xml:space="preserve">2006</w:t>
        </w:r>
      </w:hyperlink>
      <w:r>
        <w:t xml:space="preserve">, Virkkala and</w:t>
      </w:r>
      <w:r>
        <w:t xml:space="preserve"> </w:t>
      </w:r>
      <w:r>
        <w:t xml:space="preserve">Lehikoinen</w:t>
      </w:r>
      <w:r>
        <w:t xml:space="preserve"> </w:t>
      </w:r>
      <w:hyperlink w:anchor="ref-virkkala_patterns_2014">
        <w:r>
          <w:rPr>
            <w:rStyle w:val="Hyperlink"/>
          </w:rPr>
          <w:t xml:space="preserve">2014</w:t>
        </w:r>
      </w:hyperlink>
      <w:r>
        <w:t xml:space="preserve">).</w:t>
      </w:r>
      <w:r>
        <w:t xml:space="preserve"> </w:t>
      </w:r>
      <w:r>
        <w:t xml:space="preserve">Species persistence in response to climate change may critically depend</w:t>
      </w:r>
      <w:r>
        <w:t xml:space="preserve"> </w:t>
      </w:r>
      <w:r>
        <w:t xml:space="preserve">on their ability to expand their range and track suitable environments.</w:t>
      </w:r>
      <w:r>
        <w:t xml:space="preserve"> </w:t>
      </w:r>
      <w:r>
        <w:t xml:space="preserve">While most current predictive approaches ignore important biological</w:t>
      </w:r>
      <w:r>
        <w:t xml:space="preserve"> </w:t>
      </w:r>
      <w:r>
        <w:t xml:space="preserve">mechanisms such as demography, dispersal, and biotic interactions, these</w:t>
      </w:r>
      <w:r>
        <w:t xml:space="preserve"> </w:t>
      </w:r>
      <w:r>
        <w:t xml:space="preserve">play key roles in species response to environmental change (Urban et al.</w:t>
      </w:r>
      <w:r>
        <w:t xml:space="preserve"> </w:t>
      </w:r>
      <w:hyperlink w:anchor="ref-urban_improving_2016">
        <w:r>
          <w:rPr>
            <w:rStyle w:val="Hyperlink"/>
          </w:rPr>
          <w:t xml:space="preserve">2016</w:t>
        </w:r>
      </w:hyperlink>
      <w:r>
        <w:t xml:space="preserve">). In response,</w:t>
      </w:r>
      <w:r>
        <w:t xml:space="preserve"> </w:t>
      </w:r>
      <w:r>
        <w:t xml:space="preserve">several calls have been made for models to incorporate the processes</w:t>
      </w:r>
      <w:r>
        <w:t xml:space="preserve"> </w:t>
      </w:r>
      <w:r>
        <w:t xml:space="preserve">mediating species response (Stralberg et al.</w:t>
      </w:r>
      <w:r>
        <w:t xml:space="preserve"> </w:t>
      </w:r>
      <w:hyperlink w:anchor="ref-stralberg_conservation_2019">
        <w:r>
          <w:rPr>
            <w:rStyle w:val="Hyperlink"/>
          </w:rPr>
          <w:t xml:space="preserve">2019</w:t>
        </w:r>
      </w:hyperlink>
      <w:r>
        <w:t xml:space="preserve">,</w:t>
      </w:r>
      <w:r>
        <w:t xml:space="preserve"> </w:t>
      </w:r>
      <w:hyperlink w:anchor="ref-stralberg_conservation_2015">
        <w:r>
          <w:rPr>
            <w:rStyle w:val="Hyperlink"/>
          </w:rPr>
          <w:t xml:space="preserve">2015</w:t>
        </w:r>
      </w:hyperlink>
      <w:r>
        <w:t xml:space="preserve">, Fordham et</w:t>
      </w:r>
      <w:r>
        <w:t xml:space="preserve"> </w:t>
      </w:r>
      <w:r>
        <w:t xml:space="preserve">al.</w:t>
      </w:r>
      <w:r>
        <w:t xml:space="preserve"> </w:t>
      </w:r>
      <w:hyperlink w:anchor="ref-fordham_adapted_2013">
        <w:r>
          <w:rPr>
            <w:rStyle w:val="Hyperlink"/>
          </w:rPr>
          <w:t xml:space="preserve">2013</w:t>
        </w:r>
      </w:hyperlink>
      <w:r>
        <w:t xml:space="preserve">) and mechanistic</w:t>
      </w:r>
      <w:r>
        <w:t xml:space="preserve"> </w:t>
      </w:r>
      <w:r>
        <w:t xml:space="preserve">approaches have been developed to improve the realism of projections.</w:t>
      </w:r>
      <w:r>
        <w:t xml:space="preserve"> </w:t>
      </w:r>
      <w:r>
        <w:t xml:space="preserve">Some recently developed models (e.g., dynamic range models and forest</w:t>
      </w:r>
      <w:r>
        <w:t xml:space="preserve"> </w:t>
      </w:r>
      <w:r>
        <w:t xml:space="preserve">landscape models) already improve projections, but more work is required</w:t>
      </w:r>
      <w:r>
        <w:t xml:space="preserve"> </w:t>
      </w:r>
      <w:r>
        <w:t xml:space="preserve">to increase accuracy and usability as they remain rarely employed in</w:t>
      </w:r>
      <w:r>
        <w:t xml:space="preserve"> </w:t>
      </w:r>
      <w:r>
        <w:t xml:space="preserve">conservation planning when compared to correlative species distribution</w:t>
      </w:r>
      <w:r>
        <w:t xml:space="preserve"> </w:t>
      </w:r>
      <w:r>
        <w:t xml:space="preserve">models (SDMs, Guisan and Thuiller</w:t>
      </w:r>
      <w:r>
        <w:t xml:space="preserve"> </w:t>
      </w:r>
      <w:hyperlink w:anchor="ref-guisan_predicting_2005">
        <w:r>
          <w:rPr>
            <w:rStyle w:val="Hyperlink"/>
          </w:rPr>
          <w:t xml:space="preserve">2005</w:t>
        </w:r>
      </w:hyperlink>
      <w:r>
        <w:t xml:space="preserve">, Franklin and</w:t>
      </w:r>
      <w:r>
        <w:t xml:space="preserve"> </w:t>
      </w:r>
      <w:r>
        <w:t xml:space="preserve">Miller</w:t>
      </w:r>
      <w:r>
        <w:t xml:space="preserve"> </w:t>
      </w:r>
      <w:hyperlink w:anchor="ref-franklin_mapping_2009">
        <w:r>
          <w:rPr>
            <w:rStyle w:val="Hyperlink"/>
          </w:rPr>
          <w:t xml:space="preserve">2009</w:t>
        </w:r>
      </w:hyperlink>
      <w:r>
        <w:t xml:space="preserve">, Guisan et</w:t>
      </w:r>
      <w:r>
        <w:t xml:space="preserve"> </w:t>
      </w:r>
      <w:r>
        <w:t xml:space="preserve">al.</w:t>
      </w:r>
      <w:r>
        <w:t xml:space="preserve"> </w:t>
      </w:r>
      <w:hyperlink w:anchor="ref-guisan_predicting_2013">
        <w:r>
          <w:rPr>
            <w:rStyle w:val="Hyperlink"/>
          </w:rPr>
          <w:t xml:space="preserve">2013</w:t>
        </w:r>
      </w:hyperlink>
      <w:r>
        <w:t xml:space="preserve">). The challenge</w:t>
      </w:r>
      <w:r>
        <w:t xml:space="preserve"> </w:t>
      </w:r>
      <w:r>
        <w:t xml:space="preserve">now lies in the development of approaches that are accessible,</w:t>
      </w:r>
      <w:r>
        <w:t xml:space="preserve"> </w:t>
      </w:r>
      <w:r>
        <w:t xml:space="preserve">customizable and integrate multiple processes and their interplay (Urban</w:t>
      </w:r>
      <w:r>
        <w:t xml:space="preserve"> </w:t>
      </w:r>
      <w:r>
        <w:t xml:space="preserve">et al.</w:t>
      </w:r>
      <w:r>
        <w:t xml:space="preserve"> </w:t>
      </w:r>
      <w:hyperlink w:anchor="ref-urban_improving_2016">
        <w:r>
          <w:rPr>
            <w:rStyle w:val="Hyperlink"/>
          </w:rPr>
          <w:t xml:space="preserve">2016</w:t>
        </w:r>
      </w:hyperlink>
      <w:r>
        <w:t xml:space="preserve">, Thuiller et</w:t>
      </w:r>
      <w:r>
        <w:t xml:space="preserve"> </w:t>
      </w:r>
      <w:r>
        <w:t xml:space="preserve">al.</w:t>
      </w:r>
      <w:r>
        <w:t xml:space="preserve"> </w:t>
      </w:r>
      <w:hyperlink w:anchor="ref-thuiller_road_2013">
        <w:r>
          <w:rPr>
            <w:rStyle w:val="Hyperlink"/>
          </w:rPr>
          <w:t xml:space="preserve">2013</w:t>
        </w:r>
      </w:hyperlink>
      <w:r>
        <w:t xml:space="preserve">, McIntire et al.</w:t>
      </w:r>
      <w:r>
        <w:t xml:space="preserve"> </w:t>
      </w:r>
      <w:hyperlink w:anchor="ref-mcintire_perfict_2022">
        <w:r>
          <w:rPr>
            <w:rStyle w:val="Hyperlink"/>
          </w:rPr>
          <w:t xml:space="preserve">2022</w:t>
        </w:r>
      </w:hyperlink>
      <w:r>
        <w:t xml:space="preserve">). A strong</w:t>
      </w:r>
      <w:r>
        <w:t xml:space="preserve"> </w:t>
      </w:r>
      <w:r>
        <w:t xml:space="preserve">theoretical background is necessary to take on this challenge and guide</w:t>
      </w:r>
      <w:r>
        <w:t xml:space="preserve"> </w:t>
      </w:r>
      <w:r>
        <w:t xml:space="preserve">the development of approaches to balance complexity and tractability in</w:t>
      </w:r>
      <w:r>
        <w:t xml:space="preserve"> </w:t>
      </w:r>
      <w:r>
        <w:t xml:space="preserve">species distribution modelling (Thuiller et al.</w:t>
      </w:r>
      <w:r>
        <w:t xml:space="preserve"> </w:t>
      </w:r>
      <w:hyperlink w:anchor="ref-thuiller_road_2013">
        <w:r>
          <w:rPr>
            <w:rStyle w:val="Hyperlink"/>
          </w:rPr>
          <w:t xml:space="preserve">2013</w:t>
        </w:r>
      </w:hyperlink>
      <w:r>
        <w:t xml:space="preserve">).</w:t>
      </w:r>
    </w:p>
    <w:p>
      <w:pPr>
        <w:pStyle w:val="BodyText"/>
      </w:pPr>
      <w:r>
        <w:t xml:space="preserve">Explicit modelling of the processes that underlie distribution dynamics</w:t>
      </w:r>
      <w:r>
        <w:t xml:space="preserve"> </w:t>
      </w:r>
      <w:r>
        <w:t xml:space="preserve">is challenging (Hefley et al.</w:t>
      </w:r>
      <w:r>
        <w:t xml:space="preserve"> </w:t>
      </w:r>
      <w:hyperlink w:anchor="ref-hefley_when_2017">
        <w:r>
          <w:rPr>
            <w:rStyle w:val="Hyperlink"/>
          </w:rPr>
          <w:t xml:space="preserve">2017</w:t>
        </w:r>
      </w:hyperlink>
      <w:r>
        <w:t xml:space="preserve">, Briscoe et al.</w:t>
      </w:r>
      <w:r>
        <w:t xml:space="preserve"> </w:t>
      </w:r>
      <w:hyperlink w:anchor="ref-briscoe_can_2021">
        <w:r>
          <w:rPr>
            <w:rStyle w:val="Hyperlink"/>
          </w:rPr>
          <w:t xml:space="preserve">2021</w:t>
        </w:r>
      </w:hyperlink>
      <w:r>
        <w:t xml:space="preserve">). Dynamic range models</w:t>
      </w:r>
      <w:r>
        <w:t xml:space="preserve"> </w:t>
      </w:r>
      <w:r>
        <w:t xml:space="preserve">provide a successful example of incorporating demographic processes and</w:t>
      </w:r>
      <w:r>
        <w:t xml:space="preserve"> </w:t>
      </w:r>
      <w:r>
        <w:t xml:space="preserve">dispersal to improve the accuracy of species distribution projections</w:t>
      </w:r>
      <w:r>
        <w:t xml:space="preserve"> </w:t>
      </w:r>
      <w:r>
        <w:t xml:space="preserve">(Briscoe et al.</w:t>
      </w:r>
      <w:r>
        <w:t xml:space="preserve"> </w:t>
      </w:r>
      <w:hyperlink w:anchor="ref-briscoe_can_2021">
        <w:r>
          <w:rPr>
            <w:rStyle w:val="Hyperlink"/>
          </w:rPr>
          <w:t xml:space="preserve">2021</w:t>
        </w:r>
      </w:hyperlink>
      <w:r>
        <w:t xml:space="preserve">). They</w:t>
      </w:r>
      <w:r>
        <w:t xml:space="preserve"> </w:t>
      </w:r>
      <w:r>
        <w:t xml:space="preserve">are based on niche theory, assuming that species occur at locations</w:t>
      </w:r>
      <w:r>
        <w:t xml:space="preserve"> </w:t>
      </w:r>
      <w:r>
        <w:t xml:space="preserve">where the environment allows positive growth rates (Hutchinson</w:t>
      </w:r>
      <w:r>
        <w:t xml:space="preserve"> </w:t>
      </w:r>
      <w:hyperlink w:anchor="ref-hutchinson_concluding_1957">
        <w:r>
          <w:rPr>
            <w:rStyle w:val="Hyperlink"/>
          </w:rPr>
          <w:t xml:space="preserve">1957</w:t>
        </w:r>
      </w:hyperlink>
      <w:r>
        <w:t xml:space="preserve">, Godsoe et al.</w:t>
      </w:r>
      <w:r>
        <w:t xml:space="preserve"> </w:t>
      </w:r>
      <w:hyperlink w:anchor="ref-godsoe_integrating_2017">
        <w:r>
          <w:rPr>
            <w:rStyle w:val="Hyperlink"/>
          </w:rPr>
          <w:t xml:space="preserve">2017</w:t>
        </w:r>
      </w:hyperlink>
      <w:r>
        <w:t xml:space="preserve">). However, such</w:t>
      </w:r>
      <w:r>
        <w:t xml:space="preserve"> </w:t>
      </w:r>
      <w:r>
        <w:t xml:space="preserve">models are often difficult to parameterize because measuring growth rate</w:t>
      </w:r>
      <w:r>
        <w:t xml:space="preserve"> </w:t>
      </w:r>
      <w:r>
        <w:t xml:space="preserve">is challenging (McGill</w:t>
      </w:r>
      <w:r>
        <w:t xml:space="preserve"> </w:t>
      </w:r>
      <w:hyperlink w:anchor="ref-mcgill_trees_2012">
        <w:r>
          <w:rPr>
            <w:rStyle w:val="Hyperlink"/>
          </w:rPr>
          <w:t xml:space="preserve">2012</w:t>
        </w:r>
      </w:hyperlink>
      <w:r>
        <w:t xml:space="preserve">)</w:t>
      </w:r>
      <w:r>
        <w:t xml:space="preserve"> </w:t>
      </w:r>
      <w:r>
        <w:t xml:space="preserve">and requires very specific data on species response to abiotic</w:t>
      </w:r>
      <w:r>
        <w:t xml:space="preserve"> </w:t>
      </w:r>
      <w:r>
        <w:t xml:space="preserve">conditions. Indeed, on top of being computationally intensive (Snell et</w:t>
      </w:r>
      <w:r>
        <w:t xml:space="preserve"> </w:t>
      </w:r>
      <w:r>
        <w:t xml:space="preserve">al.</w:t>
      </w:r>
      <w:r>
        <w:t xml:space="preserve"> </w:t>
      </w:r>
      <w:hyperlink w:anchor="ref-snell_using_2014">
        <w:r>
          <w:rPr>
            <w:rStyle w:val="Hyperlink"/>
          </w:rPr>
          <w:t xml:space="preserve">2014</w:t>
        </w:r>
      </w:hyperlink>
      <w:r>
        <w:t xml:space="preserve">), the data required</w:t>
      </w:r>
      <w:r>
        <w:t xml:space="preserve"> </w:t>
      </w:r>
      <w:r>
        <w:t xml:space="preserve">to parameterize these models are rarely available (Urban et al.</w:t>
      </w:r>
      <w:r>
        <w:t xml:space="preserve"> </w:t>
      </w:r>
      <w:hyperlink w:anchor="ref-urban_improving_2016">
        <w:r>
          <w:rPr>
            <w:rStyle w:val="Hyperlink"/>
          </w:rPr>
          <w:t xml:space="preserve">2016</w:t>
        </w:r>
      </w:hyperlink>
      <w:r>
        <w:t xml:space="preserve">). Furthermore, local</w:t>
      </w:r>
      <w:r>
        <w:t xml:space="preserve"> </w:t>
      </w:r>
      <w:r>
        <w:t xml:space="preserve">demography on its own may be insufficient to explain broad-scale species</w:t>
      </w:r>
      <w:r>
        <w:t xml:space="preserve"> </w:t>
      </w:r>
      <w:r>
        <w:t xml:space="preserve">distribution, suggesting that processes at broader scales must also be</w:t>
      </w:r>
      <w:r>
        <w:t xml:space="preserve"> </w:t>
      </w:r>
      <w:r>
        <w:t xml:space="preserve">considered (Le Squin et al.</w:t>
      </w:r>
      <w:r>
        <w:t xml:space="preserve"> </w:t>
      </w:r>
      <w:hyperlink w:anchor="ref-le_squin_climateinduced_2021">
        <w:r>
          <w:rPr>
            <w:rStyle w:val="Hyperlink"/>
          </w:rPr>
          <w:t xml:space="preserve">2021</w:t>
        </w:r>
      </w:hyperlink>
      <w:r>
        <w:t xml:space="preserve">), including</w:t>
      </w:r>
      <w:r>
        <w:t xml:space="preserve"> </w:t>
      </w:r>
      <w:r>
        <w:t xml:space="preserve">dispersal limitations, disturbances, and biotic interactions (Urban et</w:t>
      </w:r>
      <w:r>
        <w:t xml:space="preserve"> </w:t>
      </w:r>
      <w:r>
        <w:t xml:space="preserve">al.</w:t>
      </w:r>
      <w:r>
        <w:t xml:space="preserve"> </w:t>
      </w:r>
      <w:hyperlink w:anchor="ref-urban_improving_2016">
        <w:r>
          <w:rPr>
            <w:rStyle w:val="Hyperlink"/>
          </w:rPr>
          <w:t xml:space="preserve">2016</w:t>
        </w:r>
      </w:hyperlink>
      <w:r>
        <w:t xml:space="preserve">, Stephan et al.</w:t>
      </w:r>
      <w:r>
        <w:t xml:space="preserve"> </w:t>
      </w:r>
      <w:hyperlink w:anchor="ref-stephan_positive_2021">
        <w:r>
          <w:rPr>
            <w:rStyle w:val="Hyperlink"/>
          </w:rPr>
          <w:t xml:space="preserve">2021</w:t>
        </w:r>
      </w:hyperlink>
      <w:r>
        <w:t xml:space="preserve">).</w:t>
      </w:r>
    </w:p>
    <w:p>
      <w:pPr>
        <w:pStyle w:val="BodyText"/>
      </w:pPr>
      <w:r>
        <w:t xml:space="preserve">Another approach recently proposed is derived from metapopulation</w:t>
      </w:r>
      <w:r>
        <w:t xml:space="preserve"> </w:t>
      </w:r>
      <w:r>
        <w:t xml:space="preserve">theory. Metapopulations are expected to persist in heterogenous</w:t>
      </w:r>
      <w:r>
        <w:t xml:space="preserve"> </w:t>
      </w:r>
      <w:r>
        <w:t xml:space="preserve">landscapes if colonization is sufficient to balance local extinctions</w:t>
      </w:r>
      <w:r>
        <w:t xml:space="preserve"> </w:t>
      </w:r>
      <w:r>
        <w:t xml:space="preserve">(Hanski and Ovaskainen</w:t>
      </w:r>
      <w:r>
        <w:t xml:space="preserve"> </w:t>
      </w:r>
      <w:hyperlink w:anchor="ref-hanski_metapopulation_2000">
        <w:r>
          <w:rPr>
            <w:rStyle w:val="Hyperlink"/>
          </w:rPr>
          <w:t xml:space="preserve">2000</w:t>
        </w:r>
      </w:hyperlink>
      <w:r>
        <w:t xml:space="preserve">). The</w:t>
      </w:r>
      <w:r>
        <w:t xml:space="preserve"> </w:t>
      </w:r>
      <w:r>
        <w:t xml:space="preserve">environment may constrain these two processes and limit metapopulation</w:t>
      </w:r>
      <w:r>
        <w:t xml:space="preserve"> </w:t>
      </w:r>
      <w:r>
        <w:t xml:space="preserve">persistence. Distribution limits eventually emerge over environmental</w:t>
      </w:r>
      <w:r>
        <w:t xml:space="preserve"> </w:t>
      </w:r>
      <w:r>
        <w:t xml:space="preserve">gradients at this location where persistence becomes critical.</w:t>
      </w:r>
      <w:r>
        <w:t xml:space="preserve"> </w:t>
      </w:r>
      <w:r>
        <w:t xml:space="preserve">Furthermore, distributions may be constrained by the amount of suitable</w:t>
      </w:r>
      <w:r>
        <w:t xml:space="preserve"> </w:t>
      </w:r>
      <w:r>
        <w:t xml:space="preserve">conditions in a region. As a result, a species may be absent from a</w:t>
      </w:r>
      <w:r>
        <w:t xml:space="preserve"> </w:t>
      </w:r>
      <w:r>
        <w:t xml:space="preserve">region, or a portion of a gradient, despite the occurrence of suitable</w:t>
      </w:r>
      <w:r>
        <w:t xml:space="preserve"> </w:t>
      </w:r>
      <w:r>
        <w:t xml:space="preserve">conditions if these are not abundant enough or if extinction is too high</w:t>
      </w:r>
      <w:r>
        <w:t xml:space="preserve"> </w:t>
      </w:r>
      <w:r>
        <w:t xml:space="preserve">relative to colonization. Metapopulation theory also makes an ideal</w:t>
      </w:r>
      <w:r>
        <w:t xml:space="preserve"> </w:t>
      </w:r>
      <w:r>
        <w:t xml:space="preserve">framework to incorporate several elements of complexity such as</w:t>
      </w:r>
      <w:r>
        <w:t xml:space="preserve"> </w:t>
      </w:r>
      <w:r>
        <w:t xml:space="preserve">landscape heterogeneity, dispersal, and biotic interactions. Realistic</w:t>
      </w:r>
      <w:r>
        <w:t xml:space="preserve"> </w:t>
      </w:r>
      <w:r>
        <w:t xml:space="preserve">landscape structures can be represented with spatially explicit patch</w:t>
      </w:r>
      <w:r>
        <w:t xml:space="preserve"> </w:t>
      </w:r>
      <w:r>
        <w:t xml:space="preserve">occupancy models (Hanski</w:t>
      </w:r>
      <w:r>
        <w:t xml:space="preserve"> </w:t>
      </w:r>
      <w:hyperlink w:anchor="ref-hanski_metapopulation_1999">
        <w:r>
          <w:rPr>
            <w:rStyle w:val="Hyperlink"/>
          </w:rPr>
          <w:t xml:space="preserve">1999</w:t>
        </w:r>
      </w:hyperlink>
      <w:hyperlink w:anchor="ref-hanski_metapopulation_1999">
        <w:r>
          <w:rPr>
            <w:rStyle w:val="Hyperlink"/>
          </w:rPr>
          <w:t xml:space="preserve">a</w:t>
        </w:r>
      </w:hyperlink>
      <w:r>
        <w:t xml:space="preserve">,</w:t>
      </w:r>
      <w:r>
        <w:t xml:space="preserve"> </w:t>
      </w:r>
      <w:r>
        <w:t xml:space="preserve">Ramiadantsoa et al.</w:t>
      </w:r>
      <w:r>
        <w:t xml:space="preserve"> </w:t>
      </w:r>
      <w:hyperlink w:anchor="ref-ramiadantsoa_responses_2018">
        <w:r>
          <w:rPr>
            <w:rStyle w:val="Hyperlink"/>
          </w:rPr>
          <w:t xml:space="preserve">2018</w:t>
        </w:r>
      </w:hyperlink>
      <w:r>
        <w:t xml:space="preserve">). An incidence</w:t>
      </w:r>
      <w:r>
        <w:t xml:space="preserve"> </w:t>
      </w:r>
      <w:r>
        <w:t xml:space="preserve">function is used to scale colonization to patch isolation and extinction</w:t>
      </w:r>
      <w:r>
        <w:t xml:space="preserve"> </w:t>
      </w:r>
      <w:r>
        <w:t xml:space="preserve">risk to patch area (MacArthur and Wilson</w:t>
      </w:r>
      <w:r>
        <w:t xml:space="preserve"> </w:t>
      </w:r>
      <w:hyperlink w:anchor="ref-macarthur_theory_1967">
        <w:r>
          <w:rPr>
            <w:rStyle w:val="Hyperlink"/>
          </w:rPr>
          <w:t xml:space="preserve">1967</w:t>
        </w:r>
      </w:hyperlink>
      <w:r>
        <w:t xml:space="preserve">, Hanski</w:t>
      </w:r>
      <w:r>
        <w:t xml:space="preserve"> </w:t>
      </w:r>
      <w:hyperlink w:anchor="ref-hanski_metapopulation_1999">
        <w:r>
          <w:rPr>
            <w:rStyle w:val="Hyperlink"/>
          </w:rPr>
          <w:t xml:space="preserve">1999</w:t>
        </w:r>
      </w:hyperlink>
      <w:hyperlink w:anchor="ref-hanski_metapopulation_1999">
        <w:r>
          <w:rPr>
            <w:rStyle w:val="Hyperlink"/>
          </w:rPr>
          <w:t xml:space="preserve">a</w:t>
        </w:r>
      </w:hyperlink>
      <w:r>
        <w:t xml:space="preserve">,</w:t>
      </w:r>
      <w:r>
        <w:t xml:space="preserve"> </w:t>
      </w:r>
      <w:r>
        <w:t xml:space="preserve">Schnell et al.</w:t>
      </w:r>
      <w:r>
        <w:t xml:space="preserve"> </w:t>
      </w:r>
      <w:hyperlink w:anchor="ref-schnell_estimating_2013">
        <w:r>
          <w:rPr>
            <w:rStyle w:val="Hyperlink"/>
          </w:rPr>
          <w:t xml:space="preserve">2013</w:t>
        </w:r>
      </w:hyperlink>
      <w:r>
        <w:t xml:space="preserve">,</w:t>
      </w:r>
      <w:r>
        <w:t xml:space="preserve"> </w:t>
      </w:r>
      <w:r>
        <w:t xml:space="preserve">Huang et al.</w:t>
      </w:r>
      <w:r>
        <w:t xml:space="preserve"> </w:t>
      </w:r>
      <w:hyperlink w:anchor="ref-huang_using_2019">
        <w:r>
          <w:rPr>
            <w:rStyle w:val="Hyperlink"/>
          </w:rPr>
          <w:t xml:space="preserve">2019</w:t>
        </w:r>
      </w:hyperlink>
      <w:r>
        <w:t xml:space="preserve">).</w:t>
      </w:r>
      <w:r>
        <w:t xml:space="preserve"> </w:t>
      </w:r>
      <w:r>
        <w:t xml:space="preserve">Colonization and extinction rates can also be modulated to represent</w:t>
      </w:r>
      <w:r>
        <w:t xml:space="preserve"> </w:t>
      </w:r>
      <w:r>
        <w:t xml:space="preserve">competitive, mutualistic or antagonistic interactions (Hanski</w:t>
      </w:r>
      <w:r>
        <w:t xml:space="preserve"> </w:t>
      </w:r>
      <w:hyperlink w:anchor="ref-hanski_metapopulation_1999">
        <w:r>
          <w:rPr>
            <w:rStyle w:val="Hyperlink"/>
          </w:rPr>
          <w:t xml:space="preserve">1999</w:t>
        </w:r>
      </w:hyperlink>
      <w:hyperlink w:anchor="ref-hanski_metapopulation_1999">
        <w:r>
          <w:rPr>
            <w:rStyle w:val="Hyperlink"/>
          </w:rPr>
          <w:t xml:space="preserve">a</w:t>
        </w:r>
      </w:hyperlink>
      <w:r>
        <w:t xml:space="preserve">,</w:t>
      </w:r>
      <w:r>
        <w:t xml:space="preserve"> </w:t>
      </w:r>
      <w:r>
        <w:t xml:space="preserve">Gravel et al.</w:t>
      </w:r>
      <w:r>
        <w:t xml:space="preserve"> </w:t>
      </w:r>
      <w:hyperlink w:anchor="ref-gravel_trophic_2011">
        <w:r>
          <w:rPr>
            <w:rStyle w:val="Hyperlink"/>
          </w:rPr>
          <w:t xml:space="preserve">2011</w:t>
        </w:r>
      </w:hyperlink>
      <w:r>
        <w:t xml:space="preserve">,</w:t>
      </w:r>
      <w:r>
        <w:t xml:space="preserve"> </w:t>
      </w:r>
      <w:r>
        <w:t xml:space="preserve">Vissault et al.</w:t>
      </w:r>
      <w:r>
        <w:t xml:space="preserve"> </w:t>
      </w:r>
      <w:hyperlink w:anchor="ref-vissault_slow_2020">
        <w:r>
          <w:rPr>
            <w:rStyle w:val="Hyperlink"/>
          </w:rPr>
          <w:t xml:space="preserve">2020</w:t>
        </w:r>
      </w:hyperlink>
      <w:r>
        <w:t xml:space="preserve">,</w:t>
      </w:r>
      <w:r>
        <w:t xml:space="preserve"> </w:t>
      </w:r>
      <w:r>
        <w:t xml:space="preserve">Fordham et al.</w:t>
      </w:r>
      <w:r>
        <w:t xml:space="preserve"> </w:t>
      </w:r>
      <w:hyperlink w:anchor="ref-fordham_adapted_2013">
        <w:r>
          <w:rPr>
            <w:rStyle w:val="Hyperlink"/>
          </w:rPr>
          <w:t xml:space="preserve">2013</w:t>
        </w:r>
      </w:hyperlink>
      <w:r>
        <w:t xml:space="preserve">). The</w:t>
      </w:r>
      <w:r>
        <w:t xml:space="preserve"> </w:t>
      </w:r>
      <w:r>
        <w:t xml:space="preserve">metapopulation framework may thus be understood as a flexible approach</w:t>
      </w:r>
      <w:r>
        <w:t xml:space="preserve"> </w:t>
      </w:r>
      <w:r>
        <w:t xml:space="preserve">to integrate fundamental processes driving distribution dynamics.</w:t>
      </w:r>
    </w:p>
    <w:p>
      <w:pPr>
        <w:pStyle w:val="BodyText"/>
      </w:pPr>
      <w:r>
        <w:t xml:space="preserve">Landscapes are highly heterogeneous and dynamic. They are continuously</w:t>
      </w:r>
      <w:r>
        <w:t xml:space="preserve"> </w:t>
      </w:r>
      <w:r>
        <w:t xml:space="preserve">affected by changes that can be slow or fast. Disturbances,</w:t>
      </w:r>
      <w:r>
        <w:t xml:space="preserve"> </w:t>
      </w:r>
      <w:r>
        <w:t xml:space="preserve">environmental changes, and biotic interactions are processes that may</w:t>
      </w:r>
      <w:r>
        <w:t xml:space="preserve"> </w:t>
      </w:r>
      <w:r>
        <w:t xml:space="preserve">cause species distribution to be constantly out of equilibrium with</w:t>
      </w:r>
      <w:r>
        <w:t xml:space="preserve"> </w:t>
      </w:r>
      <w:r>
        <w:t xml:space="preserve">their niche (Ovaskainen and Hanski</w:t>
      </w:r>
      <w:r>
        <w:t xml:space="preserve"> </w:t>
      </w:r>
      <w:hyperlink w:anchor="ref-ovaskainen_transient_2002">
        <w:r>
          <w:rPr>
            <w:rStyle w:val="Hyperlink"/>
          </w:rPr>
          <w:t xml:space="preserve">2002</w:t>
        </w:r>
      </w:hyperlink>
      <w:r>
        <w:t xml:space="preserve">, Svenning et al.</w:t>
      </w:r>
      <w:r>
        <w:t xml:space="preserve"> </w:t>
      </w:r>
      <w:hyperlink w:anchor="ref-svenning_influence_2014">
        <w:r>
          <w:rPr>
            <w:rStyle w:val="Hyperlink"/>
          </w:rPr>
          <w:t xml:space="preserve">2014</w:t>
        </w:r>
      </w:hyperlink>
      <w:r>
        <w:t xml:space="preserve">, Boulangeat et al.</w:t>
      </w:r>
      <w:r>
        <w:t xml:space="preserve"> </w:t>
      </w:r>
      <w:hyperlink w:anchor="ref-boulangeat_transient_2018">
        <w:r>
          <w:rPr>
            <w:rStyle w:val="Hyperlink"/>
          </w:rPr>
          <w:t xml:space="preserve">2018</w:t>
        </w:r>
      </w:hyperlink>
      <w:r>
        <w:t xml:space="preserve">).</w:t>
      </w:r>
      <w:r>
        <w:t xml:space="preserve"> </w:t>
      </w:r>
      <w:r>
        <w:t xml:space="preserve">Non-equilibrium dynamics are especially marked in plants that are</w:t>
      </w:r>
      <w:r>
        <w:t xml:space="preserve"> </w:t>
      </w:r>
      <w:r>
        <w:t xml:space="preserve">limited by slow demography and restricted dispersal (Svenning and Sandel</w:t>
      </w:r>
      <w:r>
        <w:t xml:space="preserve"> </w:t>
      </w:r>
      <w:hyperlink w:anchor="ref-svenning_disequilibrium_2013">
        <w:r>
          <w:rPr>
            <w:rStyle w:val="Hyperlink"/>
          </w:rPr>
          <w:t xml:space="preserve">2013</w:t>
        </w:r>
      </w:hyperlink>
      <w:r>
        <w:t xml:space="preserve">, Savage and</w:t>
      </w:r>
      <w:r>
        <w:t xml:space="preserve"> </w:t>
      </w:r>
      <w:r>
        <w:t xml:space="preserve">Vellend</w:t>
      </w:r>
      <w:r>
        <w:t xml:space="preserve"> </w:t>
      </w:r>
      <w:hyperlink w:anchor="ref-savage_elevational_2015">
        <w:r>
          <w:rPr>
            <w:rStyle w:val="Hyperlink"/>
          </w:rPr>
          <w:t xml:space="preserve">2015</w:t>
        </w:r>
      </w:hyperlink>
      <w:r>
        <w:t xml:space="preserve">, Talluto</w:t>
      </w:r>
      <w:r>
        <w:t xml:space="preserve"> </w:t>
      </w:r>
      <w:r>
        <w:t xml:space="preserve">et al.</w:t>
      </w:r>
      <w:r>
        <w:t xml:space="preserve"> </w:t>
      </w:r>
      <w:hyperlink w:anchor="ref-talluto_extinction_2017">
        <w:r>
          <w:rPr>
            <w:rStyle w:val="Hyperlink"/>
          </w:rPr>
          <w:t xml:space="preserve">2017</w:t>
        </w:r>
      </w:hyperlink>
      <w:r>
        <w:t xml:space="preserve">, Vissault</w:t>
      </w:r>
      <w:r>
        <w:t xml:space="preserve"> </w:t>
      </w:r>
      <w:r>
        <w:t xml:space="preserve">et al.</w:t>
      </w:r>
      <w:r>
        <w:t xml:space="preserve"> </w:t>
      </w:r>
      <w:hyperlink w:anchor="ref-vissault_slow_2020">
        <w:r>
          <w:rPr>
            <w:rStyle w:val="Hyperlink"/>
          </w:rPr>
          <w:t xml:space="preserve">2020</w:t>
        </w:r>
      </w:hyperlink>
      <w:r>
        <w:t xml:space="preserve">). Representing</w:t>
      </w:r>
      <w:r>
        <w:t xml:space="preserve"> </w:t>
      </w:r>
      <w:r>
        <w:t xml:space="preserve">this reality requires an adapted approach and metapopulation theory</w:t>
      </w:r>
      <w:r>
        <w:t xml:space="preserve"> </w:t>
      </w:r>
      <w:r>
        <w:t xml:space="preserve">offers the opportunity to model non-equilibrium dynamics (Hanski and</w:t>
      </w:r>
      <w:r>
        <w:t xml:space="preserve"> </w:t>
      </w:r>
      <w:r>
        <w:t xml:space="preserve">Simberloff</w:t>
      </w:r>
      <w:r>
        <w:t xml:space="preserve"> </w:t>
      </w:r>
      <w:hyperlink w:anchor="ref-hanski_metapopulation_1997">
        <w:r>
          <w:rPr>
            <w:rStyle w:val="Hyperlink"/>
          </w:rPr>
          <w:t xml:space="preserve">1997</w:t>
        </w:r>
      </w:hyperlink>
      <w:r>
        <w:t xml:space="preserve">,</w:t>
      </w:r>
      <w:r>
        <w:t xml:space="preserve"> </w:t>
      </w:r>
      <w:r>
        <w:t xml:space="preserve">Ovaskainen and Hanski</w:t>
      </w:r>
      <w:r>
        <w:t xml:space="preserve"> </w:t>
      </w:r>
      <w:hyperlink w:anchor="ref-ovaskainen_transient_2002">
        <w:r>
          <w:rPr>
            <w:rStyle w:val="Hyperlink"/>
          </w:rPr>
          <w:t xml:space="preserve">2002</w:t>
        </w:r>
      </w:hyperlink>
      <w:r>
        <w:t xml:space="preserve">). Recent studies</w:t>
      </w:r>
      <w:r>
        <w:t xml:space="preserve"> </w:t>
      </w:r>
      <w:r>
        <w:t xml:space="preserve">have indeed documented species distributions that do not match the</w:t>
      </w:r>
      <w:r>
        <w:t xml:space="preserve"> </w:t>
      </w:r>
      <w:r>
        <w:t xml:space="preserve">distribution of their favourable climate and that present extinction</w:t>
      </w:r>
      <w:r>
        <w:t xml:space="preserve"> </w:t>
      </w:r>
      <w:r>
        <w:t xml:space="preserve">debts and colonization credits (Savage and Vellend</w:t>
      </w:r>
      <w:r>
        <w:t xml:space="preserve"> </w:t>
      </w:r>
      <w:hyperlink w:anchor="ref-savage_elevational_2015">
        <w:r>
          <w:rPr>
            <w:rStyle w:val="Hyperlink"/>
          </w:rPr>
          <w:t xml:space="preserve">2015</w:t>
        </w:r>
      </w:hyperlink>
      <w:r>
        <w:t xml:space="preserve">, Talluto et al.</w:t>
      </w:r>
      <w:r>
        <w:t xml:space="preserve"> </w:t>
      </w:r>
      <w:hyperlink w:anchor="ref-talluto_extinction_2017">
        <w:r>
          <w:rPr>
            <w:rStyle w:val="Hyperlink"/>
          </w:rPr>
          <w:t xml:space="preserve">2017</w:t>
        </w:r>
      </w:hyperlink>
      <w:r>
        <w:t xml:space="preserve">). Metapopulation</w:t>
      </w:r>
      <w:r>
        <w:t xml:space="preserve"> </w:t>
      </w:r>
      <w:r>
        <w:t xml:space="preserve">models have shown the trailing edge of current tree distribution to be</w:t>
      </w:r>
      <w:r>
        <w:t xml:space="preserve"> </w:t>
      </w:r>
      <w:r>
        <w:t xml:space="preserve">persisting despite unfavourable climatic conditions as slow demography</w:t>
      </w:r>
      <w:r>
        <w:t xml:space="preserve"> </w:t>
      </w:r>
      <w:r>
        <w:t xml:space="preserve">delays the extinction of populations. At the leading edge, dispersal</w:t>
      </w:r>
      <w:r>
        <w:t xml:space="preserve"> </w:t>
      </w:r>
      <w:r>
        <w:t xml:space="preserve">limitations and competition prevent trees from colonizing favourable</w:t>
      </w:r>
      <w:r>
        <w:t xml:space="preserve"> </w:t>
      </w:r>
      <w:r>
        <w:t xml:space="preserve">habitats (Talluto et al.</w:t>
      </w:r>
      <w:r>
        <w:t xml:space="preserve"> </w:t>
      </w:r>
      <w:hyperlink w:anchor="ref-talluto_extinction_2017">
        <w:r>
          <w:rPr>
            <w:rStyle w:val="Hyperlink"/>
          </w:rPr>
          <w:t xml:space="preserve">2017</w:t>
        </w:r>
      </w:hyperlink>
      <w:r>
        <w:t xml:space="preserve">). The ability of</w:t>
      </w:r>
      <w:r>
        <w:t xml:space="preserve"> </w:t>
      </w:r>
      <w:r>
        <w:t xml:space="preserve">metapopulation models to study and describe dynamic landscapes therefore</w:t>
      </w:r>
      <w:r>
        <w:t xml:space="preserve"> </w:t>
      </w:r>
      <w:r>
        <w:t xml:space="preserve">makes them particularly suitable to study persistence under changing</w:t>
      </w:r>
      <w:r>
        <w:t xml:space="preserve"> </w:t>
      </w:r>
      <w:r>
        <w:t xml:space="preserve">climate.</w:t>
      </w:r>
    </w:p>
    <w:p>
      <w:pPr>
        <w:pStyle w:val="BodyText"/>
      </w:pPr>
      <w:r>
        <w:t xml:space="preserve">In this paper, we show how metapopulation theory can be used to model</w:t>
      </w:r>
      <w:r>
        <w:t xml:space="preserve"> </w:t>
      </w:r>
      <w:r>
        <w:t xml:space="preserve">and thus complement the interpretation of species distribution in a</w:t>
      </w:r>
      <w:r>
        <w:t xml:space="preserve"> </w:t>
      </w:r>
      <w:r>
        <w:t xml:space="preserve">changing environment. In addition, we illustrate how metapopulation</w:t>
      </w:r>
      <w:r>
        <w:t xml:space="preserve"> </w:t>
      </w:r>
      <w:r>
        <w:t xml:space="preserve">theory can be used to leverage species distribution models by accounting</w:t>
      </w:r>
      <w:r>
        <w:t xml:space="preserve"> </w:t>
      </w:r>
      <w:r>
        <w:t xml:space="preserve">for the complexity arising from biotic interactions, demography, and</w:t>
      </w:r>
      <w:r>
        <w:t xml:space="preserve"> </w:t>
      </w:r>
      <w:r>
        <w:t xml:space="preserve">landscape structure. To achieve this goal, we first review the theory to</w:t>
      </w:r>
      <w:r>
        <w:t xml:space="preserve"> </w:t>
      </w:r>
      <w:r>
        <w:t xml:space="preserve">account for these key ecological processes in distribution modelling and</w:t>
      </w:r>
      <w:r>
        <w:t xml:space="preserve"> </w:t>
      </w:r>
      <w:r>
        <w:t xml:space="preserve">present associated sources of complexity. We then illustrate the effect</w:t>
      </w:r>
      <w:r>
        <w:t xml:space="preserve"> </w:t>
      </w:r>
      <w:r>
        <w:t xml:space="preserve">and importance of these processes on persistence and distribution</w:t>
      </w:r>
      <w:r>
        <w:t xml:space="preserve"> </w:t>
      </w:r>
      <w:r>
        <w:t xml:space="preserve">dynamics using the Bicknell’s Thrush (</w:t>
      </w:r>
      <w:r>
        <w:rPr>
          <w:i/>
        </w:rPr>
        <w:t xml:space="preserve">Catharus bicknelli</w:t>
      </w:r>
      <w:r>
        <w:t xml:space="preserve">) as a</w:t>
      </w:r>
      <w:r>
        <w:t xml:space="preserve"> </w:t>
      </w:r>
      <w:r>
        <w:t xml:space="preserve">case study. The Bicknell’s Thrush is a threatened species in Canada with</w:t>
      </w:r>
      <w:r>
        <w:t xml:space="preserve"> </w:t>
      </w:r>
      <w:r>
        <w:t xml:space="preserve">restricted distribution. We conclude that metapopulation theory can</w:t>
      </w:r>
      <w:r>
        <w:t xml:space="preserve"> </w:t>
      </w:r>
      <w:r>
        <w:t xml:space="preserve">improve the interpretation and the use of habitat projections, notably</w:t>
      </w:r>
      <w:r>
        <w:t xml:space="preserve"> </w:t>
      </w:r>
      <w:r>
        <w:t xml:space="preserve">under increasing climate warming by accounting for the spatial</w:t>
      </w:r>
      <w:r>
        <w:t xml:space="preserve"> </w:t>
      </w:r>
      <w:r>
        <w:t xml:space="preserve">arrangement of habitats.</w:t>
      </w:r>
    </w:p>
    <w:bookmarkEnd w:id="21"/>
    <w:bookmarkStart w:id="43" w:name="Xd39b657f2bb44bb4d95951ebbfa1b6ba1277bf0"/>
    <w:p>
      <w:pPr>
        <w:pStyle w:val="Heading1"/>
      </w:pPr>
      <w:r>
        <w:t xml:space="preserve">Key Concepts Arising From Metapopulation</w:t>
      </w:r>
      <w:r>
        <w:t xml:space="preserve"> </w:t>
      </w:r>
      <w:r>
        <w:t xml:space="preserve">Theory</w:t>
      </w:r>
    </w:p>
    <w:p>
      <w:pPr>
        <w:pStyle w:val="FirstParagraph"/>
      </w:pPr>
      <w:r>
        <w:t xml:space="preserve">We first review the theoretical framework to incorporate key ecological</w:t>
      </w:r>
      <w:r>
        <w:t xml:space="preserve"> </w:t>
      </w:r>
      <w:r>
        <w:t xml:space="preserve">processes into a mechanistic approach of range dynamics. We frame these</w:t>
      </w:r>
      <w:r>
        <w:t xml:space="preserve"> </w:t>
      </w:r>
      <w:r>
        <w:t xml:space="preserve">processes in the context of a bottom-up system where the distribution of</w:t>
      </w:r>
      <w:r>
        <w:t xml:space="preserve"> </w:t>
      </w:r>
      <w:r>
        <w:t xml:space="preserve">a focal species (e.g., a predator, a habitat specialist or a mutualist)</w:t>
      </w:r>
      <w:r>
        <w:t xml:space="preserve"> </w:t>
      </w:r>
      <w:r>
        <w:t xml:space="preserve">is contingent on the distribution of a trophically lower-level species</w:t>
      </w:r>
      <w:r>
        <w:t xml:space="preserve"> </w:t>
      </w:r>
      <w:r>
        <w:t xml:space="preserve">(e.g., a prey, a vegetation type or a host). Our approach thus</w:t>
      </w:r>
      <w:r>
        <w:t xml:space="preserve"> </w:t>
      </w:r>
      <w:r>
        <w:t xml:space="preserve">integrates dispersal, demography, and biotic interactions. We study</w:t>
      </w:r>
      <w:r>
        <w:t xml:space="preserve"> </w:t>
      </w:r>
      <w:r>
        <w:t xml:space="preserve">distribution dynamics under climate warming and the associated sources</w:t>
      </w:r>
      <w:r>
        <w:t xml:space="preserve"> </w:t>
      </w:r>
      <w:r>
        <w:t xml:space="preserve">of complexity brought by landscape structure. We then contextualize the</w:t>
      </w:r>
      <w:r>
        <w:t xml:space="preserve"> </w:t>
      </w:r>
      <w:r>
        <w:t xml:space="preserve">various effects of climate change on persistence using a conceptual</w:t>
      </w:r>
      <w:r>
        <w:t xml:space="preserve"> </w:t>
      </w:r>
      <w:r>
        <w:t xml:space="preserve">habitat specialist species as an example. The resulting changes to the</w:t>
      </w:r>
      <w:r>
        <w:t xml:space="preserve"> </w:t>
      </w:r>
      <w:r>
        <w:t xml:space="preserve">species’ range support the emergence of distribution changes of greater</w:t>
      </w:r>
      <w:r>
        <w:t xml:space="preserve"> </w:t>
      </w:r>
      <w:r>
        <w:t xml:space="preserve">complexity than predicted by correlative approaches and show that</w:t>
      </w:r>
      <w:r>
        <w:t xml:space="preserve"> </w:t>
      </w:r>
      <w:r>
        <w:t xml:space="preserve">accounting for spatial arrangement of habitats is necessary to capture</w:t>
      </w:r>
      <w:r>
        <w:t xml:space="preserve"> </w:t>
      </w:r>
      <w:r>
        <w:t xml:space="preserve">distribution changes.</w:t>
      </w:r>
    </w:p>
    <w:bookmarkStart w:id="22" w:name="model-description"/>
    <w:p>
      <w:pPr>
        <w:pStyle w:val="Heading2"/>
      </w:pPr>
      <w:r>
        <w:t xml:space="preserve">Model description</w:t>
      </w:r>
    </w:p>
    <w:bookmarkEnd w:id="22"/>
    <w:p>
      <w:pPr>
        <w:pStyle w:val="FirstParagraph"/>
      </w:pPr>
      <w:r>
        <w:t xml:space="preserve">The classic metapopulation model describes species distribution over a</w:t>
      </w:r>
      <w:r>
        <w:t xml:space="preserve"> </w:t>
      </w:r>
      <w:r>
        <w:t xml:space="preserve">set of suitable patches of habitat connected by dispersal (Levins</w:t>
      </w:r>
      <w:r>
        <w:t xml:space="preserve"> </w:t>
      </w:r>
      <w:hyperlink w:anchor="ref-levins_demographic_1969">
        <w:r>
          <w:rPr>
            <w:rStyle w:val="Hyperlink"/>
          </w:rPr>
          <w:t xml:space="preserve">1969</w:t>
        </w:r>
      </w:hyperlink>
      <w:r>
        <w:t xml:space="preserve">,</w:t>
      </w:r>
      <w:r>
        <w:t xml:space="preserve"> </w:t>
      </w:r>
      <w:hyperlink w:anchor="ref-levins_mathematical_1970">
        <w:r>
          <w:rPr>
            <w:rStyle w:val="Hyperlink"/>
          </w:rPr>
          <w:t xml:space="preserve">1970</w:t>
        </w:r>
      </w:hyperlink>
      <w:r>
        <w:t xml:space="preserve">). Regional</w:t>
      </w:r>
      <w:r>
        <w:t xml:space="preserve"> </w:t>
      </w:r>
      <w:r>
        <w:t xml:space="preserve">dynamics are driven by colonization and extinction events, which</w:t>
      </w:r>
      <w:r>
        <w:t xml:space="preserve"> </w:t>
      </w:r>
      <w:r>
        <w:t xml:space="preserve">corresponding rates depend on local environmental conditions. Together</w:t>
      </w:r>
      <w:r>
        <w:t xml:space="preserve"> </w:t>
      </w:r>
      <w:r>
        <w:t xml:space="preserve">they define the species distribution limits. The dynamics may be</w:t>
      </w:r>
      <w:r>
        <w:t xml:space="preserve"> </w:t>
      </w:r>
      <w:r>
        <w:t xml:space="preserve">complexified with the representation of several trophic levels, where</w:t>
      </w:r>
      <w:r>
        <w:t xml:space="preserve"> </w:t>
      </w:r>
      <w:r>
        <w:t xml:space="preserve">high-trophic level species occur exclusively at locations occupied by</w:t>
      </w:r>
      <w:r>
        <w:t xml:space="preserve"> </w:t>
      </w:r>
      <w:r>
        <w:t xml:space="preserve">lower-level species (Fordham et al.</w:t>
      </w:r>
      <w:r>
        <w:t xml:space="preserve"> </w:t>
      </w:r>
      <w:hyperlink w:anchor="ref-fordham_adapted_2013">
        <w:r>
          <w:rPr>
            <w:rStyle w:val="Hyperlink"/>
          </w:rPr>
          <w:t xml:space="preserve">2013</w:t>
        </w:r>
      </w:hyperlink>
      <w:r>
        <w:t xml:space="preserve">). We adopt the</w:t>
      </w:r>
      <w:r>
        <w:t xml:space="preserve"> </w:t>
      </w:r>
      <w:r>
        <w:t xml:space="preserve">specialist-habitat terminology throughout this study to lighten the text</w:t>
      </w:r>
      <w:r>
        <w:t xml:space="preserve"> </w:t>
      </w:r>
      <w:r>
        <w:t xml:space="preserve">and fit the example, even if the results are more general and can apply</w:t>
      </w:r>
      <w:r>
        <w:t xml:space="preserve"> </w:t>
      </w:r>
      <w:r>
        <w:t xml:space="preserve">to any bottom-up system (e.g., predator-prey or host-mutualist).</w:t>
      </w:r>
    </w:p>
    <w:p>
      <w:pPr>
        <w:pStyle w:val="BodyText"/>
      </w:pPr>
      <w:r>
        <w:t xml:space="preserve">Consider a simple system composed of a specialist species tracking the</w:t>
      </w:r>
      <w:r>
        <w:t xml:space="preserve"> </w:t>
      </w:r>
      <w:r>
        <w:t xml:space="preserve">spatial distribution of a dynamic favourable habitat, such as a</w:t>
      </w:r>
      <w:r>
        <w:t xml:space="preserve"> </w:t>
      </w:r>
      <w:r>
        <w:t xml:space="preserve">particular type of vegetation patch providing shelter and food. The</w:t>
      </w:r>
      <w:r>
        <w:t xml:space="preserve"> </w:t>
      </w:r>
      <w:r>
        <w:t xml:space="preserve">model represents the dynamics of the occupancy of three possible states:</w:t>
      </w:r>
      <w:r>
        <w:t xml:space="preserve"> </w:t>
      </w:r>
      <w:r>
        <w:t xml:space="preserve">empty, occupied by the favourable habitat alone (</w:t>
      </w:r>
      <m:oMath>
        <m:r>
          <m:t>H</m:t>
        </m:r>
      </m:oMath>
      <w:r>
        <w:t xml:space="preserve">) or in</w:t>
      </w:r>
      <w:r>
        <w:t xml:space="preserve"> </w:t>
      </w:r>
      <w:r>
        <w:t xml:space="preserve">co-occurrence with the specialist (</w:t>
      </w:r>
      <m:oMath>
        <m:r>
          <m:t>S</m:t>
        </m:r>
      </m:oMath>
      <w:r>
        <w:t xml:space="preserve">). The landscape is</w:t>
      </w:r>
      <w:r>
        <w:t xml:space="preserve"> </w:t>
      </w:r>
      <w:r>
        <w:t xml:space="preserve">heterogeneous and each local patch is characterized by the abiotic</w:t>
      </w:r>
      <w:r>
        <w:t xml:space="preserve"> </w:t>
      </w:r>
      <w:r>
        <w:t xml:space="preserve">environmental condition (</w:t>
      </w:r>
      <m:oMath>
        <m:r>
          <m:t>E</m:t>
        </m:r>
      </m:oMath>
      <w:r>
        <w:t xml:space="preserve">). Dynamics of occupancy are given by the</w:t>
      </w:r>
      <w:r>
        <w:t xml:space="preserve"> </w:t>
      </w:r>
      <w:r>
        <w:t xml:space="preserve">following system of differential equations:</w:t>
      </w:r>
    </w:p>
    <w:p>
      <w:pPr>
        <w:pStyle w:val="BodyText"/>
      </w:pPr>
      <m:oMathPara>
        <m:oMathParaPr>
          <m:jc m:val="center"/>
        </m:oMathParaPr>
        <m:oMath>
          <m:f>
            <m:fPr>
              <m:type m:val="bar"/>
            </m:fPr>
            <m:num>
              <m:r>
                <m:t>d</m:t>
              </m:r>
              <m:r>
                <m:t>H</m:t>
              </m:r>
              <m:r>
                <m:t>(</m:t>
              </m:r>
              <m:r>
                <m:t>E</m:t>
              </m:r>
              <m:r>
                <m:t>)</m:t>
              </m:r>
            </m:num>
            <m:den>
              <m:r>
                <m:t>d</m:t>
              </m:r>
              <m:r>
                <m:t>t</m:t>
              </m:r>
            </m:den>
          </m:f>
          <m:r>
            <m:t>=</m:t>
          </m:r>
          <m:sSub>
            <m:e>
              <m:r>
                <m:t>c</m:t>
              </m:r>
            </m:e>
            <m:sub>
              <m:r>
                <m:t>H</m:t>
              </m:r>
            </m:sub>
          </m:sSub>
          <m:r>
            <m:t>(</m:t>
          </m:r>
          <m:r>
            <m:t>E</m:t>
          </m:r>
          <m:r>
            <m:t>)</m:t>
          </m:r>
          <m:r>
            <m:t>H</m:t>
          </m:r>
          <m:r>
            <m:t>(</m:t>
          </m:r>
          <m:r>
            <m:t>1</m:t>
          </m:r>
          <m:r>
            <m:t>−</m:t>
          </m:r>
          <m:r>
            <m:t>H</m:t>
          </m:r>
          <m:r>
            <m:t>)</m:t>
          </m:r>
          <m:r>
            <m:t>−</m:t>
          </m:r>
          <m:sSub>
            <m:e>
              <m:r>
                <m:t>e</m:t>
              </m:r>
            </m:e>
            <m:sub>
              <m:r>
                <m:t>H</m:t>
              </m:r>
            </m:sub>
          </m:sSub>
          <m:r>
            <m:t>(</m:t>
          </m:r>
          <m:r>
            <m:t>E</m:t>
          </m:r>
          <m:r>
            <m:t>)</m:t>
          </m:r>
          <m:r>
            <m:t>H</m:t>
          </m:r>
        </m:oMath>
      </m:oMathPara>
    </w:p>
    <w:p>
      <w:pPr>
        <w:pStyle w:val="FirstParagraph"/>
      </w:pPr>
      <m:oMathPara>
        <m:oMathParaPr>
          <m:jc m:val="center"/>
        </m:oMathParaPr>
        <m:oMath>
          <m:f>
            <m:fPr>
              <m:type m:val="bar"/>
            </m:fPr>
            <m:num>
              <m:r>
                <m:t>d</m:t>
              </m:r>
              <m:r>
                <m:t>S</m:t>
              </m:r>
              <m:r>
                <m:t>(</m:t>
              </m:r>
              <m:r>
                <m:t>E</m:t>
              </m:r>
              <m:r>
                <m:t>)</m:t>
              </m:r>
            </m:num>
            <m:den>
              <m:r>
                <m:t>d</m:t>
              </m:r>
              <m:r>
                <m:t>t</m:t>
              </m:r>
            </m:den>
          </m:f>
          <m:r>
            <m:t>=</m:t>
          </m:r>
          <m:sSub>
            <m:e>
              <m:r>
                <m:t>c</m:t>
              </m:r>
            </m:e>
            <m:sub>
              <m:r>
                <m:t>S</m:t>
              </m:r>
            </m:sub>
          </m:sSub>
          <m:r>
            <m:t>(</m:t>
          </m:r>
          <m:r>
            <m:t>E</m:t>
          </m:r>
          <m:r>
            <m:t>)</m:t>
          </m:r>
          <m:r>
            <m:t>S</m:t>
          </m:r>
          <m:r>
            <m:t>(</m:t>
          </m:r>
          <m:r>
            <m:t>H</m:t>
          </m:r>
          <m:r>
            <m:t>(</m:t>
          </m:r>
          <m:r>
            <m:t>E</m:t>
          </m:r>
          <m:r>
            <m:t>)</m:t>
          </m:r>
          <m:r>
            <m:t>−</m:t>
          </m:r>
          <m:r>
            <m:t>S</m:t>
          </m:r>
          <m:r>
            <m:t>)</m:t>
          </m:r>
          <m:r>
            <m:t>−</m:t>
          </m:r>
          <m:sSub>
            <m:e>
              <m:r>
                <m:t>e</m:t>
              </m:r>
            </m:e>
            <m:sub>
              <m:r>
                <m:t>S</m:t>
              </m:r>
            </m:sub>
          </m:sSub>
          <m:r>
            <m:t>(</m:t>
          </m:r>
          <m:r>
            <m:t>E</m:t>
          </m:r>
          <m:r>
            <m:t>)</m:t>
          </m:r>
          <m:r>
            <m:t>S</m:t>
          </m:r>
        </m:oMath>
      </m:oMathPara>
    </w:p>
    <w:p>
      <w:pPr>
        <w:pStyle w:val="FirstParagraph"/>
      </w:pPr>
      <w:r>
        <w:t xml:space="preserve">Where</w:t>
      </w:r>
      <w:r>
        <w:t xml:space="preserve"> </w:t>
      </w:r>
      <m:oMath>
        <m:r>
          <m:t>c</m:t>
        </m:r>
        <m:r>
          <m:t>(</m:t>
        </m:r>
        <m:r>
          <m:t>E</m:t>
        </m:r>
        <m:r>
          <m:t>)</m:t>
        </m:r>
      </m:oMath>
      <w:r>
        <w:t xml:space="preserve"> </w:t>
      </w:r>
      <w:r>
        <w:t xml:space="preserve">is the function for colonization rate and</w:t>
      </w:r>
      <w:r>
        <w:t xml:space="preserve"> </w:t>
      </w:r>
      <m:oMath>
        <m:r>
          <m:t>e</m:t>
        </m:r>
        <m:r>
          <m:t>(</m:t>
        </m:r>
        <m:r>
          <m:t>E</m:t>
        </m:r>
        <m:r>
          <m:t>)</m:t>
        </m:r>
      </m:oMath>
      <w:r>
        <w:t xml:space="preserve"> </w:t>
      </w:r>
      <w:r>
        <w:t xml:space="preserve">for</w:t>
      </w:r>
      <w:r>
        <w:t xml:space="preserve"> </w:t>
      </w:r>
      <w:r>
        <w:t xml:space="preserve">the extinction rate. Both are species-specific functions of the abiotic</w:t>
      </w:r>
      <w:r>
        <w:t xml:space="preserve"> </w:t>
      </w:r>
      <w:r>
        <w:t xml:space="preserve">environment such that</w:t>
      </w:r>
      <w:r>
        <w:t xml:space="preserve"> </w:t>
      </w:r>
      <m:oMath>
        <m:r>
          <m:t>H</m:t>
        </m:r>
      </m:oMath>
      <w:r>
        <w:t xml:space="preserve"> </w:t>
      </w:r>
      <w:r>
        <w:t xml:space="preserve">and</w:t>
      </w:r>
      <w:r>
        <w:t xml:space="preserve"> </w:t>
      </w:r>
      <m:oMath>
        <m:r>
          <m:t>S</m:t>
        </m:r>
      </m:oMath>
      <w:r>
        <w:t xml:space="preserve"> </w:t>
      </w:r>
      <w:r>
        <w:t xml:space="preserve">also depend on</w:t>
      </w:r>
      <w:r>
        <w:t xml:space="preserve"> </w:t>
      </w:r>
      <m:oMath>
        <m:r>
          <m:t>E</m:t>
        </m:r>
      </m:oMath>
      <w:r>
        <w:t xml:space="preserve">, the abiotic</w:t>
      </w:r>
      <w:r>
        <w:t xml:space="preserve"> </w:t>
      </w:r>
      <w:r>
        <w:t xml:space="preserve">environmental conditions. A specialist persists over the landscape in a</w:t>
      </w:r>
      <w:r>
        <w:t xml:space="preserve"> </w:t>
      </w:r>
      <w:r>
        <w:t xml:space="preserve">dynamic equilibrium between habitat availability, colonization, and</w:t>
      </w:r>
      <w:r>
        <w:t xml:space="preserve"> </w:t>
      </w:r>
      <w:r>
        <w:t xml:space="preserve">extinction if its occupancy</w:t>
      </w:r>
      <w:r>
        <w:t xml:space="preserve"> </w:t>
      </w:r>
      <m:oMath>
        <m:r>
          <m:t>S</m:t>
        </m:r>
      </m:oMath>
      <w:r>
        <w:t xml:space="preserve"> </w:t>
      </w:r>
      <w:r>
        <w:t xml:space="preserve">is larger than zero:</w:t>
      </w:r>
    </w:p>
    <w:p>
      <w:pPr>
        <w:pStyle w:val="BodyText"/>
      </w:pPr>
      <m:oMathPara>
        <m:oMathParaPr>
          <m:jc m:val="center"/>
        </m:oMathParaPr>
        <m:oMath>
          <m:r>
            <m:t>S</m:t>
          </m:r>
          <m:r>
            <m:t>(</m:t>
          </m:r>
          <m:sSup>
            <m:e>
              <m:r>
                <m:t>E</m:t>
              </m:r>
            </m:e>
            <m:sup>
              <m:r>
                <m:t>*</m:t>
              </m:r>
            </m:sup>
          </m:sSup>
          <m:r>
            <m:t>)</m:t>
          </m:r>
          <m:r>
            <m:t>=</m:t>
          </m:r>
          <m:r>
            <m:t>H</m:t>
          </m:r>
          <m:r>
            <m:t>(</m:t>
          </m:r>
          <m:sSup>
            <m:e>
              <m:r>
                <m:t>E</m:t>
              </m:r>
            </m:e>
            <m:sup>
              <m:r>
                <m:t>*</m:t>
              </m:r>
            </m:sup>
          </m:sSup>
          <m:r>
            <m:t>)</m:t>
          </m:r>
          <m:r>
            <m:t>−</m:t>
          </m:r>
          <m:f>
            <m:fPr>
              <m:type m:val="bar"/>
            </m:fPr>
            <m:num>
              <m:sSub>
                <m:e>
                  <m:r>
                    <m:t>e</m:t>
                  </m:r>
                </m:e>
                <m:sub>
                  <m:r>
                    <m:t>S</m:t>
                  </m:r>
                </m:sub>
              </m:sSub>
              <m:r>
                <m:t>(</m:t>
              </m:r>
              <m:sSup>
                <m:e>
                  <m:r>
                    <m:t>E</m:t>
                  </m:r>
                </m:e>
                <m:sup>
                  <m:r>
                    <m:t>*</m:t>
                  </m:r>
                </m:sup>
              </m:sSup>
              <m:r>
                <m:t>)</m:t>
              </m:r>
            </m:num>
            <m:den>
              <m:sSub>
                <m:e>
                  <m:r>
                    <m:t>c</m:t>
                  </m:r>
                </m:e>
                <m:sub>
                  <m:r>
                    <m:t>S</m:t>
                  </m:r>
                </m:sub>
              </m:sSub>
              <m:r>
                <m:t>(</m:t>
              </m:r>
              <m:sSup>
                <m:e>
                  <m:r>
                    <m:t>E</m:t>
                  </m:r>
                </m:e>
                <m:sup>
                  <m:r>
                    <m:t>*</m:t>
                  </m:r>
                </m:sup>
              </m:sSup>
              <m:r>
                <m:t>)</m:t>
              </m:r>
            </m:den>
          </m:f>
        </m:oMath>
      </m:oMathPara>
    </w:p>
    <w:p>
      <w:pPr>
        <w:pStyle w:val="FirstParagraph"/>
      </w:pPr>
      <w:r>
        <w:t xml:space="preserve">and the distribution limit is defined by</w:t>
      </w:r>
      <w:r>
        <w:t xml:space="preserve"> </w:t>
      </w:r>
      <m:oMath>
        <m:r>
          <m:t>S</m:t>
        </m:r>
        <m:r>
          <m:t>(</m:t>
        </m:r>
        <m:sSup>
          <m:e>
            <m:r>
              <m:t>E</m:t>
            </m:r>
          </m:e>
          <m:sup>
            <m:r>
              <m:t>*</m:t>
            </m:r>
          </m:sup>
        </m:sSup>
        <m:r>
          <m:t>)</m:t>
        </m:r>
        <m:r>
          <m:t>=</m:t>
        </m:r>
        <m:r>
          <m:t>0</m:t>
        </m:r>
      </m:oMath>
      <w:r>
        <w:t xml:space="preserve">, such that it</w:t>
      </w:r>
      <w:r>
        <w:t xml:space="preserve"> </w:t>
      </w:r>
      <w:r>
        <w:t xml:space="preserve">is located where</w:t>
      </w:r>
      <w:r>
        <w:t xml:space="preserve"> </w:t>
      </w:r>
      <m:oMath>
        <m:r>
          <m:t>H</m:t>
        </m:r>
        <m:r>
          <m:t>(</m:t>
        </m:r>
        <m:sSup>
          <m:e>
            <m:r>
              <m:t>E</m:t>
            </m:r>
          </m:e>
          <m:sup>
            <m:r>
              <m:t>*</m:t>
            </m:r>
          </m:sup>
        </m:sSup>
        <m:r>
          <m:t>)</m:t>
        </m:r>
        <m:r>
          <m:t>=</m:t>
        </m:r>
        <m:f>
          <m:fPr>
            <m:type m:val="bar"/>
          </m:fPr>
          <m:num>
            <m:sSub>
              <m:e>
                <m:r>
                  <m:t>e</m:t>
                </m:r>
              </m:e>
              <m:sub>
                <m:r>
                  <m:t>H</m:t>
                </m:r>
              </m:sub>
            </m:sSub>
            <m:r>
              <m:t>(</m:t>
            </m:r>
            <m:sSup>
              <m:e>
                <m:r>
                  <m:t>E</m:t>
                </m:r>
              </m:e>
              <m:sup>
                <m:r>
                  <m:t>*</m:t>
                </m:r>
              </m:sup>
            </m:sSup>
            <m:r>
              <m:t>)</m:t>
            </m:r>
          </m:num>
          <m:den>
            <m:sSub>
              <m:e>
                <m:r>
                  <m:t>c</m:t>
                </m:r>
              </m:e>
              <m:sub>
                <m:r>
                  <m:t>H</m:t>
                </m:r>
              </m:sub>
            </m:sSub>
            <m:r>
              <m:t>(</m:t>
            </m:r>
            <m:sSup>
              <m:e>
                <m:r>
                  <m:t>E</m:t>
                </m:r>
              </m:e>
              <m:sup>
                <m:r>
                  <m:t>*</m:t>
                </m:r>
              </m:sup>
            </m:sSup>
            <m:r>
              <m:t>)</m:t>
            </m:r>
          </m:den>
        </m:f>
      </m:oMath>
      <w:r>
        <w:t xml:space="preserve">.</w:t>
      </w:r>
      <w:r>
        <w:t xml:space="preserve"> </w:t>
      </w:r>
      <w:r>
        <w:t xml:space="preserve">Distribution limits of a habitat specialist are therefore determined by</w:t>
      </w:r>
      <w:r>
        <w:t xml:space="preserve"> </w:t>
      </w:r>
      <w:r>
        <w:t xml:space="preserve">its intrinsic response to the abiotic environment (the ratio</w:t>
      </w:r>
      <w:r>
        <w:t xml:space="preserve"> </w:t>
      </w:r>
      <m:oMath>
        <m:f>
          <m:fPr>
            <m:type m:val="bar"/>
          </m:fPr>
          <m:num>
            <m:sSub>
              <m:e>
                <m:r>
                  <m:t>e</m:t>
                </m:r>
              </m:e>
              <m:sub>
                <m:r>
                  <m:t>S</m:t>
                </m:r>
              </m:sub>
            </m:sSub>
            <m:r>
              <m:t>(</m:t>
            </m:r>
            <m:r>
              <m:t>E</m:t>
            </m:r>
            <m:r>
              <m:t>)</m:t>
            </m:r>
          </m:num>
          <m:den>
            <m:sSub>
              <m:e>
                <m:r>
                  <m:t>c</m:t>
                </m:r>
              </m:e>
              <m:sub>
                <m:r>
                  <m:t>S</m:t>
                </m:r>
              </m:sub>
            </m:sSub>
            <m:r>
              <m:t>(</m:t>
            </m:r>
            <m:r>
              <m:t>E</m:t>
            </m:r>
            <m:r>
              <m:t>)</m:t>
            </m:r>
          </m:den>
        </m:f>
      </m:oMath>
      <w:r>
        <w:t xml:space="preserve">), in conjunction with the habitat response</w:t>
      </w:r>
      <w:r>
        <w:t xml:space="preserve"> </w:t>
      </w:r>
      <w:r>
        <w:t xml:space="preserve">to the abiotic environment (</w:t>
      </w:r>
      <m:oMath>
        <m:f>
          <m:fPr>
            <m:type m:val="bar"/>
          </m:fPr>
          <m:num>
            <m:sSub>
              <m:e>
                <m:r>
                  <m:t>e</m:t>
                </m:r>
              </m:e>
              <m:sub>
                <m:r>
                  <m:t>H</m:t>
                </m:r>
              </m:sub>
            </m:sSub>
            <m:r>
              <m:t>(</m:t>
            </m:r>
            <m:r>
              <m:t>E</m:t>
            </m:r>
            <m:r>
              <m:t>)</m:t>
            </m:r>
          </m:num>
          <m:den>
            <m:sSub>
              <m:e>
                <m:r>
                  <m:t>c</m:t>
                </m:r>
              </m:e>
              <m:sub>
                <m:r>
                  <m:t>H</m:t>
                </m:r>
              </m:sub>
            </m:sSub>
            <m:r>
              <m:t>(</m:t>
            </m:r>
            <m:r>
              <m:t>E</m:t>
            </m:r>
            <m:r>
              <m:t>)</m:t>
            </m:r>
          </m:den>
        </m:f>
      </m:oMath>
      <w:r>
        <w:t xml:space="preserve">).</w:t>
      </w:r>
    </w:p>
    <w:bookmarkStart w:id="23" w:name="graphical-representation-of-range-limits"/>
    <w:p>
      <w:pPr>
        <w:pStyle w:val="Heading2"/>
      </w:pPr>
      <w:r>
        <w:t xml:space="preserve">Graphical representation of range</w:t>
      </w:r>
      <w:r>
        <w:t xml:space="preserve"> </w:t>
      </w:r>
      <w:r>
        <w:t xml:space="preserve">limits</w:t>
      </w:r>
    </w:p>
    <w:bookmarkEnd w:id="23"/>
    <w:p>
      <w:pPr>
        <w:pStyle w:val="FirstParagraph"/>
      </w:pPr>
      <w:r>
        <w:t xml:space="preserve">We provide three examples below illustrating how metapopulation theory</w:t>
      </w:r>
      <w:r>
        <w:t xml:space="preserve"> </w:t>
      </w:r>
      <w:r>
        <w:t xml:space="preserve">can reveal some of the complexities of distribution dynamics under a</w:t>
      </w:r>
      <w:r>
        <w:t xml:space="preserve"> </w:t>
      </w:r>
      <w:r>
        <w:t xml:space="preserve">changing climate.</w:t>
      </w:r>
    </w:p>
    <w:bookmarkStart w:id="26" w:name="fig:intro_persistence"/>
    <w:p>
      <w:pPr>
        <w:pStyle w:val="CaptionedFigure"/>
      </w:pPr>
      <w:bookmarkStart w:id="25" w:name="fig:intro_persistence"/>
      <w:r>
        <w:drawing>
          <wp:inline>
            <wp:extent cx="5406602" cy="5406602"/>
            <wp:effectExtent b="0" l="0" r="0" t="0"/>
            <wp:docPr descr="Graphical interpretation of the system’s distribution dynamics. The distribution of the habitat specialist is defined by its intrinsic response to the environment \frac{e}{c} (orange line) and by habitat occupancy (H(E), green line). The habitat specialist’s occupancy S^{*} declines with less favourable environmental conditions E_{0}^{*} and E_{1}^{*}." title="" id="1" name="Picture"/>
            <a:graphic>
              <a:graphicData uri="http://schemas.openxmlformats.org/drawingml/2006/picture">
                <pic:pic>
                  <pic:nvPicPr>
                    <pic:cNvPr descr="./manuscript/img/intro_persistence.png" id="0" name="Picture"/>
                    <pic:cNvPicPr>
                      <a:picLocks noChangeArrowheads="1" noChangeAspect="1"/>
                    </pic:cNvPicPr>
                  </pic:nvPicPr>
                  <pic:blipFill>
                    <a:blip r:embed="rId24"/>
                    <a:stretch>
                      <a:fillRect/>
                    </a:stretch>
                  </pic:blipFill>
                  <pic:spPr bwMode="auto">
                    <a:xfrm>
                      <a:off x="0" y="0"/>
                      <a:ext cx="5406602" cy="5406602"/>
                    </a:xfrm>
                    <a:prstGeom prst="rect">
                      <a:avLst/>
                    </a:prstGeom>
                    <a:noFill/>
                    <a:ln w="9525">
                      <a:noFill/>
                      <a:headEnd/>
                      <a:tailEnd/>
                    </a:ln>
                  </pic:spPr>
                </pic:pic>
              </a:graphicData>
            </a:graphic>
          </wp:inline>
        </w:drawing>
      </w:r>
      <w:bookmarkEnd w:id="25"/>
    </w:p>
    <w:p>
      <w:pPr>
        <w:pStyle w:val="ImageCaption"/>
      </w:pPr>
      <w:r>
        <w:t xml:space="preserve">Graphical interpretation of the system’s distribution dynamics.</w:t>
      </w:r>
      <w:r>
        <w:t xml:space="preserve"> </w:t>
      </w:r>
      <w:r>
        <w:t xml:space="preserve">The distribution of the habitat specialist is defined by its intrinsic</w:t>
      </w:r>
      <w:r>
        <w:t xml:space="preserve"> </w:t>
      </w:r>
      <w:r>
        <w:t xml:space="preserve">response to the environment</w:t>
      </w:r>
      <w:r>
        <w:t xml:space="preserve"> </w:t>
      </w:r>
      <m:oMath>
        <m:f>
          <m:fPr>
            <m:type m:val="bar"/>
          </m:fPr>
          <m:num>
            <m:r>
              <m:t>e</m:t>
            </m:r>
          </m:num>
          <m:den>
            <m:r>
              <m:t>c</m:t>
            </m:r>
          </m:den>
        </m:f>
      </m:oMath>
      <w:r>
        <w:t xml:space="preserve"> </w:t>
      </w:r>
      <w:r>
        <w:t xml:space="preserve">(orange line) and by habitat</w:t>
      </w:r>
      <w:r>
        <w:t xml:space="preserve"> </w:t>
      </w:r>
      <w:r>
        <w:t xml:space="preserve">occupancy (</w:t>
      </w:r>
      <m:oMath>
        <m:r>
          <m:t>H</m:t>
        </m:r>
        <m:r>
          <m:t>(</m:t>
        </m:r>
        <m:r>
          <m:t>E</m:t>
        </m:r>
        <m:r>
          <m:t>)</m:t>
        </m:r>
      </m:oMath>
      <w:r>
        <w:t xml:space="preserve">, green line). The habitat specialist’s occupancy</w:t>
      </w:r>
      <w:r>
        <w:t xml:space="preserve"> </w:t>
      </w:r>
      <m:oMath>
        <m:sSup>
          <m:e>
            <m:r>
              <m:t>S</m:t>
            </m:r>
          </m:e>
          <m:sup>
            <m:r>
              <m:t>*</m:t>
            </m:r>
          </m:sup>
        </m:sSup>
      </m:oMath>
      <w:r>
        <w:t xml:space="preserve"> </w:t>
      </w:r>
      <w:r>
        <w:t xml:space="preserve">declines with less favourable environmental conditions</w:t>
      </w:r>
      <w:r>
        <w:t xml:space="preserve"> </w:t>
      </w:r>
      <m:oMath>
        <m:sSubSup>
          <m:e>
            <m:r>
              <m:t>E</m:t>
            </m:r>
          </m:e>
          <m:sub>
            <m:r>
              <m:t>0</m:t>
            </m:r>
          </m:sub>
          <m:sup>
            <m:r>
              <m:t>*</m:t>
            </m:r>
          </m:sup>
        </m:sSubSup>
      </m:oMath>
      <w:r>
        <w:t xml:space="preserve"> </w:t>
      </w:r>
      <w:r>
        <w:t xml:space="preserve">and</w:t>
      </w:r>
      <w:r>
        <w:t xml:space="preserve"> </w:t>
      </w:r>
      <m:oMath>
        <m:sSubSup>
          <m:e>
            <m:r>
              <m:t>E</m:t>
            </m:r>
          </m:e>
          <m:sub>
            <m:r>
              <m:t>1</m:t>
            </m:r>
          </m:sub>
          <m:sup>
            <m:r>
              <m:t>*</m:t>
            </m:r>
          </m:sup>
        </m:sSubSup>
      </m:oMath>
      <w:r>
        <w:t xml:space="preserve">.</w:t>
      </w:r>
    </w:p>
    <w:bookmarkEnd w:id="26"/>
    <w:p>
      <w:pPr>
        <w:pStyle w:val="BodyText"/>
      </w:pPr>
      <w:r>
        <w:t xml:space="preserve">A specialist’s persistence and therefore occupancy is jointly affected</w:t>
      </w:r>
      <w:r>
        <w:t xml:space="preserve"> </w:t>
      </w:r>
      <w:r>
        <w:t xml:space="preserve">by abiotic conditions and habitat availability (occupancy) such that it</w:t>
      </w:r>
      <w:r>
        <w:t xml:space="preserve"> </w:t>
      </w:r>
      <w:r>
        <w:t xml:space="preserve">can be represented graphically with</w:t>
      </w:r>
      <w:r>
        <w:t xml:space="preserve"> </w:t>
      </w:r>
      <m:oMath>
        <m:f>
          <m:fPr>
            <m:type m:val="bar"/>
          </m:fPr>
          <m:num>
            <m:r>
              <m:t>e</m:t>
            </m:r>
          </m:num>
          <m:den>
            <m:r>
              <m:t>c</m:t>
            </m:r>
          </m:den>
        </m:f>
      </m:oMath>
      <w:r>
        <w:t xml:space="preserve"> </w:t>
      </w:r>
      <w:r>
        <w:t xml:space="preserve">and</w:t>
      </w:r>
      <w:r>
        <w:t xml:space="preserve"> </w:t>
      </w:r>
      <m:oMath>
        <m:r>
          <m:t>H</m:t>
        </m:r>
        <m:r>
          <m:t>(</m:t>
        </m:r>
        <m:r>
          <m:t>E</m:t>
        </m:r>
        <m:r>
          <m:t>)</m:t>
        </m:r>
      </m:oMath>
      <w:r>
        <w:t xml:space="preserve"> </w:t>
      </w:r>
      <w:r>
        <w:t xml:space="preserve">curves.</w:t>
      </w:r>
      <w:r>
        <w:t xml:space="preserve"> </w:t>
      </w:r>
      <w:r>
        <w:t xml:space="preserve">For simplicity, let’s assume linear relationships. Distribution limit</w:t>
      </w:r>
      <w:r>
        <w:t xml:space="preserve"> </w:t>
      </w:r>
      <w:r>
        <w:t xml:space="preserve">occurs at the position along the environmental gradient where the</w:t>
      </w:r>
      <w:r>
        <w:t xml:space="preserve"> </w:t>
      </w:r>
      <w:r>
        <w:t xml:space="preserve">habitat occupancy curve (green line) crosses the extinction to</w:t>
      </w:r>
      <w:r>
        <w:t xml:space="preserve"> </w:t>
      </w:r>
      <w:r>
        <w:t xml:space="preserve">colonization ratio. An example is illustrated in Figure</w:t>
      </w:r>
      <w:r>
        <w:t xml:space="preserve"> </w:t>
      </w:r>
      <w:hyperlink w:anchor="fig:intro_persistence">
        <w:r>
          <w:rPr>
            <w:rStyle w:val="Hyperlink"/>
          </w:rPr>
          <w:t xml:space="preserve">1</w:t>
        </w:r>
      </w:hyperlink>
      <w:r>
        <w:t xml:space="preserve">. For a landscape composed of suitable</w:t>
      </w:r>
      <w:r>
        <w:t xml:space="preserve"> </w:t>
      </w:r>
      <w:r>
        <w:t xml:space="preserve">habitat patches, the habitat occupancy is 1 and does not vary with</w:t>
      </w:r>
      <w:r>
        <w:t xml:space="preserve"> </w:t>
      </w:r>
      <w:r>
        <w:t xml:space="preserve">environmental conditions. The specialist’s intrinsic response is less</w:t>
      </w:r>
      <w:r>
        <w:t xml:space="preserve"> </w:t>
      </w:r>
      <w:r>
        <w:t xml:space="preserve">favourable with increasing environmental conditions. Its occupancy for</w:t>
      </w:r>
      <w:r>
        <w:t xml:space="preserve"> </w:t>
      </w:r>
      <w:r>
        <w:t xml:space="preserve">given environmental conditions is defined by the difference between</w:t>
      </w:r>
      <w:r>
        <w:t xml:space="preserve"> </w:t>
      </w:r>
      <w:r>
        <w:t xml:space="preserve">habitat availability and the extinction to colonization ratio curves</w:t>
      </w:r>
      <w:r>
        <w:t xml:space="preserve"> </w:t>
      </w:r>
      <w:r>
        <w:t xml:space="preserve">(</w:t>
      </w:r>
      <m:oMath>
        <m:sSup>
          <m:e>
            <m:r>
              <m:t>S</m:t>
            </m:r>
          </m:e>
          <m:sup>
            <m:r>
              <m:t>*</m:t>
            </m:r>
          </m:sup>
        </m:sSup>
        <m:r>
          <m:t>=</m:t>
        </m:r>
        <m:r>
          <m:t>H</m:t>
        </m:r>
        <m:r>
          <m:t>−</m:t>
        </m:r>
        <m:f>
          <m:fPr>
            <m:type m:val="bar"/>
          </m:fPr>
          <m:num>
            <m:r>
              <m:t>e</m:t>
            </m:r>
          </m:num>
          <m:den>
            <m:r>
              <m:t>c</m:t>
            </m:r>
          </m:den>
        </m:f>
      </m:oMath>
      <w:r>
        <w:t xml:space="preserve">). The effect of environmental conditions on</w:t>
      </w:r>
      <w:r>
        <w:t xml:space="preserve"> </w:t>
      </w:r>
      <w:r>
        <w:t xml:space="preserve">its occupancy can be graphically represented at</w:t>
      </w:r>
      <w:r>
        <w:t xml:space="preserve"> </w:t>
      </w:r>
      <m:oMath>
        <m:sSubSup>
          <m:e>
            <m:r>
              <m:t>E</m:t>
            </m:r>
          </m:e>
          <m:sub>
            <m:r>
              <m:t>0</m:t>
            </m:r>
          </m:sub>
          <m:sup>
            <m:r>
              <m:t>*</m:t>
            </m:r>
          </m:sup>
        </m:sSubSup>
      </m:oMath>
      <w:r>
        <w:t xml:space="preserve"> </w:t>
      </w:r>
      <w:r>
        <w:t xml:space="preserve">and</w:t>
      </w:r>
      <w:r>
        <w:t xml:space="preserve"> </w:t>
      </w:r>
      <m:oMath>
        <m:sSubSup>
          <m:e>
            <m:r>
              <m:t>E</m:t>
            </m:r>
          </m:e>
          <m:sub>
            <m:r>
              <m:t>1</m:t>
            </m:r>
          </m:sub>
          <m:sup>
            <m:r>
              <m:t>*</m:t>
            </m:r>
          </m:sup>
        </m:sSubSup>
      </m:oMath>
      <w:r>
        <w:t xml:space="preserve">. The difference between habitat availability and the</w:t>
      </w:r>
      <w:r>
        <w:t xml:space="preserve"> </w:t>
      </w:r>
      <w:r>
        <w:t xml:space="preserve">extinction to colonization ratio curves (</w:t>
      </w:r>
      <m:oMath>
        <m:sSup>
          <m:e>
            <m:r>
              <m:t>S</m:t>
            </m:r>
          </m:e>
          <m:sup>
            <m:r>
              <m:t>*</m:t>
            </m:r>
          </m:sup>
        </m:sSup>
      </m:oMath>
      <w:r>
        <w:t xml:space="preserve">; shown by the arrows</w:t>
      </w:r>
      <w:r>
        <w:t xml:space="preserve"> </w:t>
      </w:r>
      <w:r>
        <w:t xml:space="preserve">in Figure</w:t>
      </w:r>
      <w:r>
        <w:t xml:space="preserve"> </w:t>
      </w:r>
      <w:hyperlink w:anchor="fig:intro_persistence">
        <w:r>
          <w:rPr>
            <w:rStyle w:val="Hyperlink"/>
          </w:rPr>
          <w:t xml:space="preserve">1</w:t>
        </w:r>
      </w:hyperlink>
      <w:r>
        <w:t xml:space="preserve">) is reduced with increasing</w:t>
      </w:r>
      <w:r>
        <w:t xml:space="preserve"> </w:t>
      </w:r>
      <w:r>
        <w:t xml:space="preserve">environmental conditions, illustrating a decrease in the specialist’s</w:t>
      </w:r>
      <w:r>
        <w:t xml:space="preserve"> </w:t>
      </w:r>
      <w:r>
        <w:t xml:space="preserve">occupancy and persistence (</w:t>
      </w:r>
      <m:oMath>
        <m:r>
          <m:t>S</m:t>
        </m:r>
        <m:r>
          <m:t>(</m:t>
        </m:r>
        <m:sSubSup>
          <m:e>
            <m:r>
              <m:t>E</m:t>
            </m:r>
          </m:e>
          <m:sub>
            <m:r>
              <m:t>0</m:t>
            </m:r>
          </m:sub>
          <m:sup>
            <m:r>
              <m:t>*</m:t>
            </m:r>
          </m:sup>
        </m:sSubSup>
        <m:r>
          <m:t>)</m:t>
        </m:r>
        <m:r>
          <m:t>&gt;</m:t>
        </m:r>
        <m:r>
          <m:t>S</m:t>
        </m:r>
        <m:r>
          <m:t>(</m:t>
        </m:r>
        <m:sSubSup>
          <m:e>
            <m:r>
              <m:t>E</m:t>
            </m:r>
          </m:e>
          <m:sub>
            <m:r>
              <m:t>1</m:t>
            </m:r>
          </m:sub>
          <m:sup>
            <m:r>
              <m:t>*</m:t>
            </m:r>
          </m:sup>
        </m:sSubSup>
        <m:r>
          <m:t>)</m:t>
        </m:r>
      </m:oMath>
      <w:r>
        <w:t xml:space="preserve">).</w:t>
      </w:r>
    </w:p>
    <w:bookmarkStart w:id="27" w:name="Xa90492294ba8b0f18b8cd83169fe23ccc104019"/>
    <w:p>
      <w:pPr>
        <w:pStyle w:val="Heading3"/>
      </w:pPr>
      <w:r>
        <w:t xml:space="preserve">Interaction of the specialist and of its habitat’s</w:t>
      </w:r>
      <w:r>
        <w:t xml:space="preserve"> </w:t>
      </w:r>
      <w:r>
        <w:t xml:space="preserve">response can cause indirect distribution</w:t>
      </w:r>
      <w:r>
        <w:t xml:space="preserve"> </w:t>
      </w:r>
      <w:r>
        <w:t xml:space="preserve">dynamics</w:t>
      </w:r>
    </w:p>
    <w:bookmarkEnd w:id="27"/>
    <w:bookmarkStart w:id="30" w:name="fig:occ_plot"/>
    <w:p>
      <w:pPr>
        <w:pStyle w:val="CaptionedFigure"/>
      </w:pPr>
      <w:bookmarkStart w:id="29" w:name="fig:occ_plot"/>
      <w:r>
        <w:drawing>
          <wp:inline>
            <wp:extent cx="5943600" cy="1782778"/>
            <wp:effectExtent b="0" l="0" r="0" t="0"/>
            <wp:docPr descr="Change in occupancy (and persistence as shown by the grey arrows) of the habitat specialist depends on its intrinsic response to the environment \frac{e}{c} (orange line) and of the habitat’s response H(E^{*}) (green line)." title="" id="1" name="Picture"/>
            <a:graphic>
              <a:graphicData uri="http://schemas.openxmlformats.org/drawingml/2006/picture">
                <pic:pic>
                  <pic:nvPicPr>
                    <pic:cNvPr descr="./manuscript/img/concept_occ.png" id="0" name="Picture"/>
                    <pic:cNvPicPr>
                      <a:picLocks noChangeArrowheads="1" noChangeAspect="1"/>
                    </pic:cNvPicPr>
                  </pic:nvPicPr>
                  <pic:blipFill>
                    <a:blip r:embed="rId28"/>
                    <a:stretch>
                      <a:fillRect/>
                    </a:stretch>
                  </pic:blipFill>
                  <pic:spPr bwMode="auto">
                    <a:xfrm>
                      <a:off x="0" y="0"/>
                      <a:ext cx="5943600" cy="1782778"/>
                    </a:xfrm>
                    <a:prstGeom prst="rect">
                      <a:avLst/>
                    </a:prstGeom>
                    <a:noFill/>
                    <a:ln w="9525">
                      <a:noFill/>
                      <a:headEnd/>
                      <a:tailEnd/>
                    </a:ln>
                  </pic:spPr>
                </pic:pic>
              </a:graphicData>
            </a:graphic>
          </wp:inline>
        </w:drawing>
      </w:r>
      <w:bookmarkEnd w:id="29"/>
    </w:p>
    <w:p>
      <w:pPr>
        <w:pStyle w:val="ImageCaption"/>
      </w:pPr>
      <w:r>
        <w:t xml:space="preserve">Change in occupancy (and persistence as shown by the grey</w:t>
      </w:r>
      <w:r>
        <w:t xml:space="preserve"> </w:t>
      </w:r>
      <w:r>
        <w:t xml:space="preserve">arrows) of the habitat specialist depends on its intrinsic response to</w:t>
      </w:r>
      <w:r>
        <w:t xml:space="preserve"> </w:t>
      </w:r>
      <w:r>
        <w:t xml:space="preserve">the environment</w:t>
      </w:r>
      <w:r>
        <w:t xml:space="preserve"> </w:t>
      </w:r>
      <m:oMath>
        <m:f>
          <m:fPr>
            <m:type m:val="bar"/>
          </m:fPr>
          <m:num>
            <m:r>
              <m:t>e</m:t>
            </m:r>
          </m:num>
          <m:den>
            <m:r>
              <m:t>c</m:t>
            </m:r>
          </m:den>
        </m:f>
      </m:oMath>
      <w:r>
        <w:t xml:space="preserve"> </w:t>
      </w:r>
      <w:r>
        <w:t xml:space="preserve">(orange line) and of the habitat’s</w:t>
      </w:r>
      <w:r>
        <w:t xml:space="preserve"> </w:t>
      </w:r>
      <w:r>
        <w:t xml:space="preserve">response</w:t>
      </w:r>
      <w:r>
        <w:t xml:space="preserve"> </w:t>
      </w:r>
      <m:oMath>
        <m:r>
          <m:t>H</m:t>
        </m:r>
        <m:r>
          <m:t>(</m:t>
        </m:r>
        <m:sSup>
          <m:e>
            <m:r>
              <m:t>E</m:t>
            </m:r>
          </m:e>
          <m:sup>
            <m:r>
              <m:t>*</m:t>
            </m:r>
          </m:sup>
        </m:sSup>
        <m:r>
          <m:t>)</m:t>
        </m:r>
      </m:oMath>
      <w:r>
        <w:t xml:space="preserve"> </w:t>
      </w:r>
      <w:r>
        <w:t xml:space="preserve">(green line).</w:t>
      </w:r>
    </w:p>
    <w:bookmarkEnd w:id="30"/>
    <w:p>
      <w:pPr>
        <w:pStyle w:val="BodyText"/>
      </w:pPr>
      <w:r>
        <w:t xml:space="preserve">In a bottom-up system such as predator-prey or a habitat specialist, the</w:t>
      </w:r>
      <w:r>
        <w:t xml:space="preserve"> </w:t>
      </w:r>
      <w:r>
        <w:t xml:space="preserve">response to environmental change does not only depend on the focal</w:t>
      </w:r>
      <w:r>
        <w:t xml:space="preserve"> </w:t>
      </w:r>
      <w:r>
        <w:t xml:space="preserve">species but also on the response of the associated one. The covariation</w:t>
      </w:r>
      <w:r>
        <w:t xml:space="preserve"> </w:t>
      </w:r>
      <w:r>
        <w:t xml:space="preserve">in the response to the environment between the two levels is therefore</w:t>
      </w:r>
      <w:r>
        <w:t xml:space="preserve"> </w:t>
      </w:r>
      <w:r>
        <w:t xml:space="preserve">of critical importance. For instance, the net effect of less favourable</w:t>
      </w:r>
      <w:r>
        <w:t xml:space="preserve"> </w:t>
      </w:r>
      <w:r>
        <w:t xml:space="preserve">environmental conditions to a specialist could be detrimental, without</w:t>
      </w:r>
      <w:r>
        <w:t xml:space="preserve"> </w:t>
      </w:r>
      <w:r>
        <w:t xml:space="preserve">effect, or favourable depending on the effect of the environment to its</w:t>
      </w:r>
      <w:r>
        <w:t xml:space="preserve"> </w:t>
      </w:r>
      <w:r>
        <w:t xml:space="preserve">habitat (Figure</w:t>
      </w:r>
      <w:r>
        <w:t xml:space="preserve"> </w:t>
      </w:r>
      <w:hyperlink w:anchor="fig:occ_plot">
        <w:r>
          <w:rPr>
            <w:rStyle w:val="Hyperlink"/>
          </w:rPr>
          <w:t xml:space="preserve">2</w:t>
        </w:r>
      </w:hyperlink>
      <w:r>
        <w:t xml:space="preserve">). Figure</w:t>
      </w:r>
      <w:r>
        <w:t xml:space="preserve"> </w:t>
      </w:r>
      <w:hyperlink w:anchor="fig:occ_plot">
        <w:r>
          <w:rPr>
            <w:rStyle w:val="Hyperlink"/>
          </w:rPr>
          <w:t xml:space="preserve">2</w:t>
        </w:r>
      </w:hyperlink>
      <w:r>
        <w:t xml:space="preserve"> </w:t>
      </w:r>
      <w:r>
        <w:t xml:space="preserve">A</w:t>
      </w:r>
      <w:r>
        <w:t xml:space="preserve"> </w:t>
      </w:r>
      <w:r>
        <w:t xml:space="preserve">illustrates that specialist occupancy decrease (S) is amplified as</w:t>
      </w:r>
      <w:r>
        <w:t xml:space="preserve"> </w:t>
      </w:r>
      <w:r>
        <w:t xml:space="preserve">environmental conditions harm simultaneously the specialist and its</w:t>
      </w:r>
      <w:r>
        <w:t xml:space="preserve"> </w:t>
      </w:r>
      <w:r>
        <w:t xml:space="preserve">habitat. Conversely, stable specialist occupancy is caused by an</w:t>
      </w:r>
      <w:r>
        <w:t xml:space="preserve"> </w:t>
      </w:r>
      <w:r>
        <w:t xml:space="preserve">equivalent increase of habitat availability or as one level benefits as</w:t>
      </w:r>
      <w:r>
        <w:t xml:space="preserve"> </w:t>
      </w:r>
      <w:r>
        <w:t xml:space="preserve">much as the other suffers (Figure</w:t>
      </w:r>
      <w:r>
        <w:t xml:space="preserve"> </w:t>
      </w:r>
      <w:hyperlink w:anchor="fig:occ_plot">
        <w:r>
          <w:rPr>
            <w:rStyle w:val="Hyperlink"/>
          </w:rPr>
          <w:t xml:space="preserve">2</w:t>
        </w:r>
      </w:hyperlink>
      <w:r>
        <w:t xml:space="preserve"> </w:t>
      </w:r>
      <w:r>
        <w:t xml:space="preserve">B). An increase in</w:t>
      </w:r>
      <w:r>
        <w:t xml:space="preserve"> </w:t>
      </w:r>
      <w:r>
        <w:t xml:space="preserve">specialist occupancy despite less favourable environmental conditions</w:t>
      </w:r>
      <w:r>
        <w:t xml:space="preserve"> </w:t>
      </w:r>
      <w:r>
        <w:t xml:space="preserve">may occur if one level benefits more than the other suffers (Figure</w:t>
      </w:r>
      <w:r>
        <w:t xml:space="preserve"> </w:t>
      </w:r>
      <w:hyperlink w:anchor="fig:occ_plot">
        <w:r>
          <w:rPr>
            <w:rStyle w:val="Hyperlink"/>
          </w:rPr>
          <w:t xml:space="preserve">2</w:t>
        </w:r>
      </w:hyperlink>
      <w:r>
        <w:t xml:space="preserve"> </w:t>
      </w:r>
      <w:r>
        <w:t xml:space="preserve">C). Thus, the interaction between levels may have</w:t>
      </w:r>
      <w:r>
        <w:t xml:space="preserve"> </w:t>
      </w:r>
      <w:r>
        <w:t xml:space="preserve">indirect (and counterintuitive) effects on specialist response.</w:t>
      </w:r>
    </w:p>
    <w:bookmarkStart w:id="31" w:name="X99d419b3eb8c90d14057dca9de5317555b5e52a"/>
    <w:p>
      <w:pPr>
        <w:pStyle w:val="Heading3"/>
      </w:pPr>
      <w:r>
        <w:t xml:space="preserve">Habitat mismatch affects species distribution</w:t>
      </w:r>
      <w:r>
        <w:t xml:space="preserve"> </w:t>
      </w:r>
      <w:r>
        <w:t xml:space="preserve">shifts</w:t>
      </w:r>
    </w:p>
    <w:bookmarkEnd w:id="31"/>
    <w:bookmarkStart w:id="34" w:name="fig:concept_mismatch"/>
    <w:p>
      <w:pPr>
        <w:pStyle w:val="CaptionedFigure"/>
      </w:pPr>
      <w:bookmarkStart w:id="33" w:name="fig:concept_mismatch"/>
      <w:r>
        <w:drawing>
          <wp:inline>
            <wp:extent cx="5406602" cy="5406602"/>
            <wp:effectExtent b="0" l="0" r="0" t="0"/>
            <wp:docPr descr="The distribution of the habitat specialist (grey area) is impacted by the functions relating the intrinsic response to the environment (orange line) to habitat occupancy (H(E), full and dashed green lines)." title="" id="1" name="Picture"/>
            <a:graphic>
              <a:graphicData uri="http://schemas.openxmlformats.org/drawingml/2006/picture">
                <pic:pic>
                  <pic:nvPicPr>
                    <pic:cNvPr descr="./manuscript/img/concept_mismatch.png" id="0" name="Picture"/>
                    <pic:cNvPicPr>
                      <a:picLocks noChangeArrowheads="1" noChangeAspect="1"/>
                    </pic:cNvPicPr>
                  </pic:nvPicPr>
                  <pic:blipFill>
                    <a:blip r:embed="rId32"/>
                    <a:stretch>
                      <a:fillRect/>
                    </a:stretch>
                  </pic:blipFill>
                  <pic:spPr bwMode="auto">
                    <a:xfrm>
                      <a:off x="0" y="0"/>
                      <a:ext cx="5406602" cy="5406602"/>
                    </a:xfrm>
                    <a:prstGeom prst="rect">
                      <a:avLst/>
                    </a:prstGeom>
                    <a:noFill/>
                    <a:ln w="9525">
                      <a:noFill/>
                      <a:headEnd/>
                      <a:tailEnd/>
                    </a:ln>
                  </pic:spPr>
                </pic:pic>
              </a:graphicData>
            </a:graphic>
          </wp:inline>
        </w:drawing>
      </w:r>
      <w:bookmarkEnd w:id="33"/>
    </w:p>
    <w:p>
      <w:pPr>
        <w:pStyle w:val="ImageCaption"/>
      </w:pPr>
      <w:r>
        <w:t xml:space="preserve">The distribution of the habitat specialist (grey area) is</w:t>
      </w:r>
      <w:r>
        <w:t xml:space="preserve"> </w:t>
      </w:r>
      <w:r>
        <w:t xml:space="preserve">impacted by the functions relating the intrinsic response to the</w:t>
      </w:r>
      <w:r>
        <w:t xml:space="preserve"> </w:t>
      </w:r>
      <w:r>
        <w:t xml:space="preserve">environment (orange line) to habitat occupancy (</w:t>
      </w:r>
      <m:oMath>
        <m:r>
          <m:t>H</m:t>
        </m:r>
        <m:r>
          <m:t>(</m:t>
        </m:r>
        <m:r>
          <m:t>E</m:t>
        </m:r>
        <m:r>
          <m:t>)</m:t>
        </m:r>
      </m:oMath>
      <w:r>
        <w:t xml:space="preserve">, full and</w:t>
      </w:r>
      <w:r>
        <w:t xml:space="preserve"> </w:t>
      </w:r>
      <w:r>
        <w:t xml:space="preserve">dashed green lines).</w:t>
      </w:r>
    </w:p>
    <w:bookmarkEnd w:id="34"/>
    <w:p>
      <w:pPr>
        <w:pStyle w:val="BodyText"/>
      </w:pPr>
      <w:r>
        <w:t xml:space="preserve">Range limits of a habitat specialist is jointly affected by abiotic</w:t>
      </w:r>
      <w:r>
        <w:t xml:space="preserve"> </w:t>
      </w:r>
      <w:r>
        <w:t xml:space="preserve">conditions and the availability (occupancy) of its habitat. Range shift</w:t>
      </w:r>
      <w:r>
        <w:t xml:space="preserve"> </w:t>
      </w:r>
      <w:r>
        <w:t xml:space="preserve">in response to environmental changes is therefore not only determined by</w:t>
      </w:r>
      <w:r>
        <w:t xml:space="preserve"> </w:t>
      </w:r>
      <w:r>
        <w:t xml:space="preserve">its intrinsic response to the environment, but also by the response of</w:t>
      </w:r>
      <w:r>
        <w:t xml:space="preserve"> </w:t>
      </w:r>
      <w:r>
        <w:t xml:space="preserve">the habitat. As a result, a mismatch between the species response to the</w:t>
      </w:r>
      <w:r>
        <w:t xml:space="preserve"> </w:t>
      </w:r>
      <w:r>
        <w:t xml:space="preserve">environment and its realized distribution may arise, in particular when</w:t>
      </w:r>
      <w:r>
        <w:t xml:space="preserve"> </w:t>
      </w:r>
      <w:r>
        <w:t xml:space="preserve">different trophic levels are not responding at the same rate to</w:t>
      </w:r>
      <w:r>
        <w:t xml:space="preserve"> </w:t>
      </w:r>
      <w:r>
        <w:t xml:space="preserve">environmental change. An example is illustrated in Figure</w:t>
      </w:r>
      <w:r>
        <w:t xml:space="preserve"> </w:t>
      </w:r>
      <w:hyperlink w:anchor="fig:concept_mismatch">
        <w:r>
          <w:rPr>
            <w:rStyle w:val="Hyperlink"/>
          </w:rPr>
          <w:t xml:space="preserve">3</w:t>
        </w:r>
      </w:hyperlink>
      <w:r>
        <w:t xml:space="preserve">. The distribution may shift in the geographic</w:t>
      </w:r>
      <w:r>
        <w:t xml:space="preserve"> </w:t>
      </w:r>
      <w:r>
        <w:t xml:space="preserve">space, for instance toward the north, but it should stay the same in the</w:t>
      </w:r>
      <w:r>
        <w:t xml:space="preserve"> </w:t>
      </w:r>
      <w:r>
        <w:t xml:space="preserve">environmental space if both levels respond similarly (Figure 3, dark</w:t>
      </w:r>
      <w:r>
        <w:t xml:space="preserve"> </w:t>
      </w:r>
      <w:r>
        <w:t xml:space="preserve">shaded area). That said, if a delay or any other factor prevents the</w:t>
      </w:r>
      <w:r>
        <w:t xml:space="preserve"> </w:t>
      </w:r>
      <w:r>
        <w:t xml:space="preserve">habitat from tracking the new environmental conditions, then the habitat</w:t>
      </w:r>
      <w:r>
        <w:t xml:space="preserve"> </w:t>
      </w:r>
      <w:r>
        <w:t xml:space="preserve">curve will shift (Figure</w:t>
      </w:r>
      <w:r>
        <w:t xml:space="preserve"> </w:t>
      </w:r>
      <w:hyperlink w:anchor="fig:concept_mismatch">
        <w:r>
          <w:rPr>
            <w:rStyle w:val="Hyperlink"/>
          </w:rPr>
          <w:t xml:space="preserve">3</w:t>
        </w:r>
      </w:hyperlink>
      <w:r>
        <w:t xml:space="preserve">, green dashed line),</w:t>
      </w:r>
      <w:r>
        <w:t xml:space="preserve"> </w:t>
      </w:r>
      <w:r>
        <w:t xml:space="preserve">and so will the distribution limit (light shaded area). Such mismatch</w:t>
      </w:r>
      <w:r>
        <w:t xml:space="preserve"> </w:t>
      </w:r>
      <w:r>
        <w:t xml:space="preserve">could either benefit or harm the specialist distribution; in this</w:t>
      </w:r>
      <w:r>
        <w:t xml:space="preserve"> </w:t>
      </w:r>
      <w:r>
        <w:t xml:space="preserve">example, the specialist expands to less favourable environmental</w:t>
      </w:r>
      <w:r>
        <w:t xml:space="preserve"> </w:t>
      </w:r>
      <w:r>
        <w:t xml:space="preserve">conditions. The response of the habitat to changing abiotic conditions</w:t>
      </w:r>
      <w:r>
        <w:t xml:space="preserve"> </w:t>
      </w:r>
      <w:r>
        <w:t xml:space="preserve">does influence the specialist distribution, both in extent and in the</w:t>
      </w:r>
      <w:r>
        <w:t xml:space="preserve"> </w:t>
      </w:r>
      <w:r>
        <w:t xml:space="preserve">position of its distribution limits in both the environmental and</w:t>
      </w:r>
      <w:r>
        <w:t xml:space="preserve"> </w:t>
      </w:r>
      <w:r>
        <w:t xml:space="preserve">geographical space.</w:t>
      </w:r>
    </w:p>
    <w:bookmarkStart w:id="35" w:name="X61e44a1fe71f0f598287025d5f87a666e71d38a"/>
    <w:p>
      <w:pPr>
        <w:pStyle w:val="Heading3"/>
      </w:pPr>
      <w:r>
        <w:t xml:space="preserve">Metapopulation dynamics may precipitate species</w:t>
      </w:r>
      <w:r>
        <w:t xml:space="preserve"> </w:t>
      </w:r>
      <w:r>
        <w:t xml:space="preserve">decline</w:t>
      </w:r>
    </w:p>
    <w:bookmarkEnd w:id="35"/>
    <w:bookmarkStart w:id="38" w:name="fig:concept_metapop"/>
    <w:p>
      <w:pPr>
        <w:pStyle w:val="CaptionedFigure"/>
      </w:pPr>
      <w:bookmarkStart w:id="37" w:name="fig:concept_metapop"/>
      <w:r>
        <w:drawing>
          <wp:inline>
            <wp:extent cx="5406602" cy="5406602"/>
            <wp:effectExtent b="0" l="0" r="0" t="0"/>
            <wp:docPr descr="The response of a habitat specialist to a linear environmental change in time as it would be expected with a correlative SDM (linear response; full line). Metapopulation dynamics may precipitate - or alternatively delay - the extinction of the species in a metapopulation even if there are suitable conditions (dashed line)." title="" id="1" name="Picture"/>
            <a:graphic>
              <a:graphicData uri="http://schemas.openxmlformats.org/drawingml/2006/picture">
                <pic:pic>
                  <pic:nvPicPr>
                    <pic:cNvPr descr="./manuscript/img/concept_metapopEffect.png" id="0" name="Picture"/>
                    <pic:cNvPicPr>
                      <a:picLocks noChangeArrowheads="1" noChangeAspect="1"/>
                    </pic:cNvPicPr>
                  </pic:nvPicPr>
                  <pic:blipFill>
                    <a:blip r:embed="rId36"/>
                    <a:stretch>
                      <a:fillRect/>
                    </a:stretch>
                  </pic:blipFill>
                  <pic:spPr bwMode="auto">
                    <a:xfrm>
                      <a:off x="0" y="0"/>
                      <a:ext cx="5406602" cy="5406602"/>
                    </a:xfrm>
                    <a:prstGeom prst="rect">
                      <a:avLst/>
                    </a:prstGeom>
                    <a:noFill/>
                    <a:ln w="9525">
                      <a:noFill/>
                      <a:headEnd/>
                      <a:tailEnd/>
                    </a:ln>
                  </pic:spPr>
                </pic:pic>
              </a:graphicData>
            </a:graphic>
          </wp:inline>
        </w:drawing>
      </w:r>
      <w:bookmarkEnd w:id="37"/>
    </w:p>
    <w:p>
      <w:pPr>
        <w:pStyle w:val="ImageCaption"/>
      </w:pPr>
      <w:r>
        <w:t xml:space="preserve">The response of a habitat specialist to a linear environmental</w:t>
      </w:r>
      <w:r>
        <w:t xml:space="preserve"> </w:t>
      </w:r>
      <w:r>
        <w:t xml:space="preserve">change in time as it would be expected with a correlative SDM (linear</w:t>
      </w:r>
      <w:r>
        <w:t xml:space="preserve"> </w:t>
      </w:r>
      <w:r>
        <w:t xml:space="preserve">response; full line). Metapopulation dynamics may precipitate - or</w:t>
      </w:r>
      <w:r>
        <w:t xml:space="preserve"> </w:t>
      </w:r>
      <w:r>
        <w:t xml:space="preserve">alternatively delay - the extinction of the species in a metapopulation</w:t>
      </w:r>
      <w:r>
        <w:t xml:space="preserve"> </w:t>
      </w:r>
      <w:r>
        <w:t xml:space="preserve">even if there are suitable conditions (dashed</w:t>
      </w:r>
      <w:r>
        <w:t xml:space="preserve"> </w:t>
      </w:r>
      <w:r>
        <w:t xml:space="preserve">line).</w:t>
      </w:r>
    </w:p>
    <w:bookmarkEnd w:id="38"/>
    <w:p>
      <w:pPr>
        <w:pStyle w:val="BodyText"/>
      </w:pPr>
      <w:r>
        <w:t xml:space="preserve">The projection of range shifts with correlative SDMs assumes an</w:t>
      </w:r>
      <w:r>
        <w:t xml:space="preserve"> </w:t>
      </w:r>
      <w:r>
        <w:t xml:space="preserve">instantaneous response to environmental change. An implicit assumption</w:t>
      </w:r>
      <w:r>
        <w:t xml:space="preserve"> </w:t>
      </w:r>
      <w:r>
        <w:t xml:space="preserve">is also that a reduction in habitat occupancy translates into an</w:t>
      </w:r>
      <w:r>
        <w:t xml:space="preserve"> </w:t>
      </w:r>
      <w:r>
        <w:t xml:space="preserve">equivalent reduction in the specialist’s range, leading to extinction</w:t>
      </w:r>
      <w:r>
        <w:t xml:space="preserve"> </w:t>
      </w:r>
      <w:r>
        <w:t xml:space="preserve">(Thomas et al.</w:t>
      </w:r>
      <w:r>
        <w:t xml:space="preserve"> </w:t>
      </w:r>
      <w:hyperlink w:anchor="ref-thomas_extinction_2004">
        <w:r>
          <w:rPr>
            <w:rStyle w:val="Hyperlink"/>
          </w:rPr>
          <w:t xml:space="preserve">2004</w:t>
        </w:r>
      </w:hyperlink>
      <w:r>
        <w:t xml:space="preserve">).</w:t>
      </w:r>
      <w:r>
        <w:t xml:space="preserve"> </w:t>
      </w:r>
      <w:r>
        <w:t xml:space="preserve">Metapopulation dynamics may, however, precipitate the decline of a</w:t>
      </w:r>
      <w:r>
        <w:t xml:space="preserve"> </w:t>
      </w:r>
      <w:r>
        <w:t xml:space="preserve">species before the complete disappearance of suitable conditions.</w:t>
      </w:r>
      <w:r>
        <w:t xml:space="preserve"> </w:t>
      </w:r>
      <w:r>
        <w:t xml:space="preserve">Consider a landscape where abiotic conditions are spatially</w:t>
      </w:r>
      <w:r>
        <w:t xml:space="preserve"> </w:t>
      </w:r>
      <w:r>
        <w:t xml:space="preserve">heterogeneous, such as temperature in a mountainous area. The</w:t>
      </w:r>
      <w:r>
        <w:t xml:space="preserve"> </w:t>
      </w:r>
      <w:r>
        <w:t xml:space="preserve">progressive change in this environment, like climate warming, will have</w:t>
      </w:r>
      <w:r>
        <w:t xml:space="preserve"> </w:t>
      </w:r>
      <w:r>
        <w:t xml:space="preserve">two effects on the distribution of suitable patches: the first direct</w:t>
      </w:r>
      <w:r>
        <w:t xml:space="preserve"> </w:t>
      </w:r>
      <w:r>
        <w:t xml:space="preserve">consequence is a reduction in habitat occupancy</w:t>
      </w:r>
      <w:r>
        <w:t xml:space="preserve"> </w:t>
      </w:r>
      <m:oMath>
        <m:r>
          <m:t>H</m:t>
        </m:r>
        <m:r>
          <m:t>(</m:t>
        </m:r>
        <m:r>
          <m:t>E</m:t>
        </m:r>
        <m:r>
          <m:t>)</m:t>
        </m:r>
      </m:oMath>
      <w:r>
        <w:t xml:space="preserve">, and indirectly</w:t>
      </w:r>
      <w:r>
        <w:t xml:space="preserve"> </w:t>
      </w:r>
      <w:r>
        <w:t xml:space="preserve">follows the increase of the extinction rate with the shrinking of</w:t>
      </w:r>
      <w:r>
        <w:t xml:space="preserve"> </w:t>
      </w:r>
      <w:r>
        <w:t xml:space="preserve">suitable patches. Some favourable patches may also disappear, thereby</w:t>
      </w:r>
      <w:r>
        <w:t xml:space="preserve"> </w:t>
      </w:r>
      <w:r>
        <w:t xml:space="preserve">reducing the landscape connectivity. A non-linear decline of occupancy</w:t>
      </w:r>
      <w:r>
        <w:t xml:space="preserve"> </w:t>
      </w:r>
      <w:r>
        <w:t xml:space="preserve">therefore arises from a linear change in environmental conditions as the</w:t>
      </w:r>
      <w:r>
        <w:t xml:space="preserve"> </w:t>
      </w:r>
      <w:r>
        <w:t xml:space="preserve">ratio</w:t>
      </w:r>
      <w:r>
        <w:t xml:space="preserve"> </w:t>
      </w:r>
      <m:oMath>
        <m:f>
          <m:fPr>
            <m:type m:val="bar"/>
          </m:fPr>
          <m:num>
            <m:r>
              <m:t>e</m:t>
            </m:r>
            <m:r>
              <m:t>(</m:t>
            </m:r>
            <m:r>
              <m:t>E</m:t>
            </m:r>
            <m:r>
              <m:t>)</m:t>
            </m:r>
          </m:num>
          <m:den>
            <m:r>
              <m:t>c</m:t>
            </m:r>
            <m:r>
              <m:t>(</m:t>
            </m:r>
            <m:r>
              <m:t>E</m:t>
            </m:r>
            <m:r>
              <m:t>)</m:t>
            </m:r>
          </m:den>
        </m:f>
      </m:oMath>
      <w:r>
        <w:t xml:space="preserve"> </w:t>
      </w:r>
      <w:r>
        <w:t xml:space="preserve">within the specialist’s persistence function</w:t>
      </w:r>
      <w:r>
        <w:t xml:space="preserve"> </w:t>
      </w:r>
      <w:r>
        <w:t xml:space="preserve">increases (Figure</w:t>
      </w:r>
      <w:r>
        <w:t xml:space="preserve"> </w:t>
      </w:r>
      <w:hyperlink w:anchor="fig:concept_metapop">
        <w:r>
          <w:rPr>
            <w:rStyle w:val="Hyperlink"/>
          </w:rPr>
          <w:t xml:space="preserve">4</w:t>
        </w:r>
      </w:hyperlink>
      <w:r>
        <w:t xml:space="preserve">). This metapopulation effect</w:t>
      </w:r>
      <w:r>
        <w:t xml:space="preserve"> </w:t>
      </w:r>
      <w:r>
        <w:t xml:space="preserve">may not be important at first while suitable habitat is abundant and</w:t>
      </w:r>
      <w:r>
        <w:t xml:space="preserve"> </w:t>
      </w:r>
      <w:r>
        <w:t xml:space="preserve">patches are large, but increases as habitat occupancy decreases,</w:t>
      </w:r>
      <w:r>
        <w:t xml:space="preserve"> </w:t>
      </w:r>
      <w:r>
        <w:t xml:space="preserve">supporting an acceleration of metapopulation prevalence loss to a</w:t>
      </w:r>
      <w:r>
        <w:t xml:space="preserve"> </w:t>
      </w:r>
      <w:r>
        <w:t xml:space="preserve">constant abiotic environmental shift (Hanski and Ovaskainen</w:t>
      </w:r>
      <w:r>
        <w:t xml:space="preserve"> </w:t>
      </w:r>
      <w:hyperlink w:anchor="ref-hanski_metapopulation_2000">
        <w:r>
          <w:rPr>
            <w:rStyle w:val="Hyperlink"/>
          </w:rPr>
          <w:t xml:space="preserve">2000</w:t>
        </w:r>
      </w:hyperlink>
      <w:r>
        <w:t xml:space="preserve">, Ovaskainen and</w:t>
      </w:r>
      <w:r>
        <w:t xml:space="preserve"> </w:t>
      </w:r>
      <w:r>
        <w:t xml:space="preserve">Hanski</w:t>
      </w:r>
      <w:r>
        <w:t xml:space="preserve"> </w:t>
      </w:r>
      <w:hyperlink w:anchor="ref-ovaskainen_transient_2002">
        <w:r>
          <w:rPr>
            <w:rStyle w:val="Hyperlink"/>
          </w:rPr>
          <w:t xml:space="preserve">2002</w:t>
        </w:r>
      </w:hyperlink>
      <w:r>
        <w:t xml:space="preserve">).</w:t>
      </w:r>
    </w:p>
    <w:bookmarkStart w:id="39" w:name="spatially-explicit-landscapes"/>
    <w:p>
      <w:pPr>
        <w:pStyle w:val="Heading2"/>
      </w:pPr>
      <w:r>
        <w:t xml:space="preserve">Spatially explicit</w:t>
      </w:r>
      <w:r>
        <w:t xml:space="preserve"> </w:t>
      </w:r>
      <w:r>
        <w:t xml:space="preserve">landscapes</w:t>
      </w:r>
    </w:p>
    <w:bookmarkEnd w:id="39"/>
    <w:p>
      <w:pPr>
        <w:pStyle w:val="FirstParagraph"/>
      </w:pPr>
      <w:r>
        <w:t xml:space="preserve">Analytical tools from metapopulation theory can be used to interpret</w:t>
      </w:r>
      <w:r>
        <w:t xml:space="preserve"> </w:t>
      </w:r>
      <w:r>
        <w:t xml:space="preserve">range limits in spatially explicit heterogeneous landscapes.</w:t>
      </w:r>
      <w:r>
        <w:t xml:space="preserve"> </w:t>
      </w:r>
      <w:r>
        <w:t xml:space="preserve">Metapopulation capacity can be evaluated for realistic landscapes where</w:t>
      </w:r>
      <w:r>
        <w:t xml:space="preserve"> </w:t>
      </w:r>
      <w:r>
        <w:t xml:space="preserve">patch coordinates and size are considered. Metapopulation capacity is</w:t>
      </w:r>
      <w:r>
        <w:t xml:space="preserve"> </w:t>
      </w:r>
      <w:r>
        <w:t xml:space="preserve">measured as the first eigenvalue of the landscape matrix</w:t>
      </w:r>
      <w:r>
        <w:t xml:space="preserve"> </w:t>
      </w:r>
      <m:oMath>
        <m:r>
          <m:t>M</m:t>
        </m:r>
      </m:oMath>
      <w:r>
        <w:t xml:space="preserve">, where</w:t>
      </w:r>
      <w:r>
        <w:t xml:space="preserve"> </w:t>
      </w:r>
      <w:r>
        <w:t xml:space="preserve">elements</w:t>
      </w:r>
      <w:r>
        <w:t xml:space="preserve"> </w:t>
      </w:r>
      <m:oMath>
        <m:sSub>
          <m:e>
            <m:r>
              <m:t>m</m:t>
            </m:r>
          </m:e>
          <m:sub>
            <m:r>
              <m:t>i</m:t>
            </m:r>
            <m:r>
              <m:t>j</m:t>
            </m:r>
          </m:sub>
        </m:sSub>
        <m:r>
          <m:t>=</m:t>
        </m:r>
        <m:r>
          <m:t>e</m:t>
        </m:r>
        <m:r>
          <m:t>x</m:t>
        </m:r>
        <m:r>
          <m:t>p</m:t>
        </m:r>
        <m:r>
          <m:t>(</m:t>
        </m:r>
        <m:r>
          <m:t>−</m:t>
        </m:r>
        <m:r>
          <m:t>α</m:t>
        </m:r>
        <m:sSub>
          <m:e>
            <m:r>
              <m:t>d</m:t>
            </m:r>
          </m:e>
          <m:sub>
            <m:r>
              <m:t>i</m:t>
            </m:r>
            <m:r>
              <m:t>j</m:t>
            </m:r>
          </m:sub>
        </m:sSub>
        <m:r>
          <m:t>)</m:t>
        </m:r>
        <m:sSub>
          <m:e>
            <m:r>
              <m:t>A</m:t>
            </m:r>
          </m:e>
          <m:sub>
            <m:r>
              <m:t>i</m:t>
            </m:r>
          </m:sub>
        </m:sSub>
        <m:sSub>
          <m:e>
            <m:r>
              <m:t>A</m:t>
            </m:r>
          </m:e>
          <m:sub>
            <m:r>
              <m:t>j</m:t>
            </m:r>
          </m:sub>
        </m:sSub>
      </m:oMath>
      <w:r>
        <w:t xml:space="preserve"> </w:t>
      </w:r>
      <w:r>
        <w:t xml:space="preserve">for</w:t>
      </w:r>
      <w:r>
        <w:t xml:space="preserve"> </w:t>
      </w:r>
      <m:oMath>
        <m:r>
          <m:t>j</m:t>
        </m:r>
        <m:r>
          <m:t>≠</m:t>
        </m:r>
        <m:r>
          <m:t>i</m:t>
        </m:r>
      </m:oMath>
      <w:r>
        <w:t xml:space="preserve"> </w:t>
      </w:r>
      <w:r>
        <w:t xml:space="preserve">and</w:t>
      </w:r>
      <w:r>
        <w:t xml:space="preserve"> </w:t>
      </w:r>
      <m:oMath>
        <m:sSub>
          <m:e>
            <m:r>
              <m:t>m</m:t>
            </m:r>
          </m:e>
          <m:sub>
            <m:r>
              <m:t>i</m:t>
            </m:r>
            <m:r>
              <m:t>i</m:t>
            </m:r>
          </m:sub>
        </m:sSub>
        <m:r>
          <m:t>=</m:t>
        </m:r>
        <m:r>
          <m:t>0</m:t>
        </m:r>
      </m:oMath>
      <w:r>
        <w:t xml:space="preserve"> </w:t>
      </w:r>
      <w:r>
        <w:t xml:space="preserve">(Hanski and Ovaskainen</w:t>
      </w:r>
      <w:r>
        <w:t xml:space="preserve"> </w:t>
      </w:r>
      <w:hyperlink w:anchor="ref-hanski_metapopulation_2000">
        <w:r>
          <w:rPr>
            <w:rStyle w:val="Hyperlink"/>
          </w:rPr>
          <w:t xml:space="preserve">2000</w:t>
        </w:r>
      </w:hyperlink>
      <w:r>
        <w:t xml:space="preserve">).</w:t>
      </w:r>
      <w:r>
        <w:t xml:space="preserve"> </w:t>
      </w:r>
      <m:oMath>
        <m:f>
          <m:fPr>
            <m:type m:val="bar"/>
          </m:fPr>
          <m:num>
            <m:r>
              <m:t>1</m:t>
            </m:r>
          </m:num>
          <m:den>
            <m:r>
              <m:t>α</m:t>
            </m:r>
          </m:den>
        </m:f>
      </m:oMath>
      <w:r>
        <w:t xml:space="preserve"> </w:t>
      </w:r>
      <w:r>
        <w:t xml:space="preserve">describes the average dispersal distance,</w:t>
      </w:r>
      <w:r>
        <w:t xml:space="preserve"> </w:t>
      </w:r>
      <m:oMath>
        <m:sSub>
          <m:e>
            <m:r>
              <m:t>d</m:t>
            </m:r>
          </m:e>
          <m:sub>
            <m:r>
              <m:t>i</m:t>
            </m:r>
            <m:r>
              <m:t>j</m:t>
            </m:r>
          </m:sub>
        </m:sSub>
      </m:oMath>
      <w:r>
        <w:t xml:space="preserve"> </w:t>
      </w:r>
      <w:r>
        <w:t xml:space="preserve">is the distance between patch</w:t>
      </w:r>
      <w:r>
        <w:t xml:space="preserve"> </w:t>
      </w:r>
      <m:oMath>
        <m:r>
          <m:t>i</m:t>
        </m:r>
      </m:oMath>
      <w:r>
        <w:t xml:space="preserve"> </w:t>
      </w:r>
      <w:r>
        <w:t xml:space="preserve">and</w:t>
      </w:r>
      <w:r>
        <w:t xml:space="preserve"> </w:t>
      </w:r>
      <m:oMath>
        <m:r>
          <m:t>j</m:t>
        </m:r>
      </m:oMath>
      <w:r>
        <w:t xml:space="preserve">, and</w:t>
      </w:r>
      <w:r>
        <w:t xml:space="preserve"> </w:t>
      </w:r>
      <m:oMath>
        <m:sSub>
          <m:e>
            <m:r>
              <m:t>A</m:t>
            </m:r>
          </m:e>
          <m:sub>
            <m:r>
              <m:t>i</m:t>
            </m:r>
          </m:sub>
        </m:sSub>
      </m:oMath>
      <w:r>
        <w:t xml:space="preserve"> </w:t>
      </w:r>
      <w:r>
        <w:t xml:space="preserve">is the area of patch</w:t>
      </w:r>
      <w:r>
        <w:t xml:space="preserve"> </w:t>
      </w:r>
      <m:oMath>
        <m:r>
          <m:t>i</m:t>
        </m:r>
      </m:oMath>
      <w:r>
        <w:t xml:space="preserve"> </w:t>
      </w:r>
      <w:r>
        <w:t xml:space="preserve">(refer to Hanski and Ovaskainen</w:t>
      </w:r>
      <w:r>
        <w:t xml:space="preserve"> </w:t>
      </w:r>
      <w:r>
        <w:t xml:space="preserve">(</w:t>
      </w:r>
      <w:hyperlink w:anchor="ref-hanski_metapopulation_2000">
        <w:r>
          <w:rPr>
            <w:rStyle w:val="Hyperlink"/>
          </w:rPr>
          <w:t xml:space="preserve">2000</w:t>
        </w:r>
      </w:hyperlink>
      <w:r>
        <w:t xml:space="preserve">) for the full</w:t>
      </w:r>
      <w:r>
        <w:t xml:space="preserve"> </w:t>
      </w:r>
      <w:r>
        <w:t xml:space="preserve">description). Metapopulation capacity is a measure of a species’ ability</w:t>
      </w:r>
      <w:r>
        <w:t xml:space="preserve"> </w:t>
      </w:r>
      <w:r>
        <w:t xml:space="preserve">to maintain itself regionally as a function of connectivity and local</w:t>
      </w:r>
      <w:r>
        <w:t xml:space="preserve"> </w:t>
      </w:r>
      <w:r>
        <w:t xml:space="preserve">extinctions. It provides the means to evaluate conditions for</w:t>
      </w:r>
      <w:r>
        <w:t xml:space="preserve"> </w:t>
      </w:r>
      <w:r>
        <w:t xml:space="preserve">persistence given the spatial arrangement of patches and their size.</w:t>
      </w:r>
    </w:p>
    <w:p>
      <w:pPr>
        <w:pStyle w:val="BodyText"/>
      </w:pPr>
      <w:r>
        <w:t xml:space="preserve">Climate change can profoundly alter landscapes as experienced by</w:t>
      </w:r>
      <w:r>
        <w:t xml:space="preserve"> </w:t>
      </w:r>
      <w:r>
        <w:t xml:space="preserve">species; not only does it influence the amount of suitable habitats, but</w:t>
      </w:r>
      <w:r>
        <w:t xml:space="preserve"> </w:t>
      </w:r>
      <w:r>
        <w:t xml:space="preserve">also the capacity of species to persist when colonization and extinction</w:t>
      </w:r>
      <w:r>
        <w:t xml:space="preserve"> </w:t>
      </w:r>
      <w:r>
        <w:t xml:space="preserve">prevail. Consider a mountainous landscape inhabited by a high elevation</w:t>
      </w:r>
      <w:r>
        <w:t xml:space="preserve"> </w:t>
      </w:r>
      <w:r>
        <w:t xml:space="preserve">habitat specialist. The landscape is marked by a steep elevational</w:t>
      </w:r>
      <w:r>
        <w:t xml:space="preserve"> </w:t>
      </w:r>
      <w:r>
        <w:t xml:space="preserve">gradient in temperature where warm temperatures at low elevations exceed</w:t>
      </w:r>
      <w:r>
        <w:t xml:space="preserve"> </w:t>
      </w:r>
      <w:r>
        <w:t xml:space="preserve">the species’ tolerance. The landscape would therefore be divided between</w:t>
      </w:r>
      <w:r>
        <w:t xml:space="preserve"> </w:t>
      </w:r>
      <w:r>
        <w:t xml:space="preserve">suitable cold habitats on mountain tops and unsuitable warmer habitats</w:t>
      </w:r>
      <w:r>
        <w:t xml:space="preserve"> </w:t>
      </w:r>
      <w:r>
        <w:t xml:space="preserve">at the bottom. The topography will not only determine the total surface</w:t>
      </w:r>
      <w:r>
        <w:t xml:space="preserve"> </w:t>
      </w:r>
      <w:r>
        <w:t xml:space="preserve">of suitable conditions, but also the frequency distribution of patch</w:t>
      </w:r>
      <w:r>
        <w:t xml:space="preserve"> </w:t>
      </w:r>
      <w:r>
        <w:t xml:space="preserve">sizes and of distances among mountain tops. As a result, it will</w:t>
      </w:r>
      <w:r>
        <w:t xml:space="preserve"> </w:t>
      </w:r>
      <w:r>
        <w:t xml:space="preserve">influence the connectivity of the landscape and the distribution of</w:t>
      </w:r>
      <w:r>
        <w:t xml:space="preserve"> </w:t>
      </w:r>
      <w:r>
        <w:t xml:space="preserve">patch specific extinction rates.</w:t>
      </w:r>
    </w:p>
    <w:p>
      <w:pPr>
        <w:pStyle w:val="BodyText"/>
      </w:pPr>
      <w:r>
        <w:t xml:space="preserve">A schematic example is provided in Figure</w:t>
      </w:r>
      <w:r>
        <w:t xml:space="preserve"> </w:t>
      </w:r>
      <w:hyperlink w:anchor="fig:concept_metapop_structure">
        <w:r>
          <w:rPr>
            <w:rStyle w:val="Hyperlink"/>
          </w:rPr>
          <w:t xml:space="preserve">5</w:t>
        </w:r>
      </w:hyperlink>
      <w:r>
        <w:t xml:space="preserve">, inspired by the case study that</w:t>
      </w:r>
      <w:r>
        <w:t xml:space="preserve"> </w:t>
      </w:r>
      <w:r>
        <w:t xml:space="preserve">will follow in the next section. Fixing a lower climatic range limit in</w:t>
      </w:r>
      <w:r>
        <w:t xml:space="preserve"> </w:t>
      </w:r>
      <w:r>
        <w:t xml:space="preserve">a hypothetical mountainous landscape, we find nine suitable habitat</w:t>
      </w:r>
      <w:r>
        <w:t xml:space="preserve"> </w:t>
      </w:r>
      <w:r>
        <w:t xml:space="preserve">patches of various sizes, distributed at various distances one from</w:t>
      </w:r>
      <w:r>
        <w:t xml:space="preserve"> </w:t>
      </w:r>
      <w:r>
        <w:t xml:space="preserve">another (Figure</w:t>
      </w:r>
      <w:r>
        <w:t xml:space="preserve"> </w:t>
      </w:r>
      <w:hyperlink w:anchor="fig:concept_metapop_structure">
        <w:r>
          <w:rPr>
            <w:rStyle w:val="Hyperlink"/>
          </w:rPr>
          <w:t xml:space="preserve">5</w:t>
        </w:r>
      </w:hyperlink>
      <w:r>
        <w:t xml:space="preserve">, left panel).</w:t>
      </w:r>
      <w:r>
        <w:t xml:space="preserve"> </w:t>
      </w:r>
      <w:r>
        <w:t xml:space="preserve">Habitat patches here represent high elevation mountain tops. The warming</w:t>
      </w:r>
      <w:r>
        <w:t xml:space="preserve"> </w:t>
      </w:r>
      <w:r>
        <w:t xml:space="preserve">of climatic conditions causes an elevational shift of lower range limits</w:t>
      </w:r>
      <w:r>
        <w:t xml:space="preserve"> </w:t>
      </w:r>
      <w:r>
        <w:t xml:space="preserve">resulting in the contraction of habitat patches. An equal contraction</w:t>
      </w:r>
      <w:r>
        <w:t xml:space="preserve"> </w:t>
      </w:r>
      <w:r>
        <w:t xml:space="preserve">between patches produces important changes to the landscape’s structure</w:t>
      </w:r>
      <w:r>
        <w:t xml:space="preserve"> </w:t>
      </w:r>
      <w:r>
        <w:t xml:space="preserve">(Figure</w:t>
      </w:r>
      <w:r>
        <w:t xml:space="preserve"> </w:t>
      </w:r>
      <w:hyperlink w:anchor="fig:concept_metapop_structure">
        <w:r>
          <w:rPr>
            <w:rStyle w:val="Hyperlink"/>
          </w:rPr>
          <w:t xml:space="preserve">5</w:t>
        </w:r>
      </w:hyperlink>
      <w:r>
        <w:t xml:space="preserve">, right panel). The number of</w:t>
      </w:r>
      <w:r>
        <w:t xml:space="preserve"> </w:t>
      </w:r>
      <w:r>
        <w:t xml:space="preserve">patches declines to six for a 63% reduction of total habitat area.</w:t>
      </w:r>
      <w:r>
        <w:t xml:space="preserve"> </w:t>
      </w:r>
      <w:r>
        <w:t xml:space="preserve">Patches become generally smaller from contraction and fragmentation, and</w:t>
      </w:r>
      <w:r>
        <w:t xml:space="preserve"> </w:t>
      </w:r>
      <w:r>
        <w:t xml:space="preserve">the smallest patches go extinct. Further, not only smaller patches are</w:t>
      </w:r>
      <w:r>
        <w:t xml:space="preserve"> </w:t>
      </w:r>
      <w:r>
        <w:t xml:space="preserve">assumed to support smaller population sizes, have superior extinction</w:t>
      </w:r>
      <w:r>
        <w:t xml:space="preserve"> </w:t>
      </w:r>
      <w:r>
        <w:t xml:space="preserve">risks, and produce fewer colonizers (Hanski and Ovaskainen</w:t>
      </w:r>
      <w:r>
        <w:t xml:space="preserve"> </w:t>
      </w:r>
      <w:hyperlink w:anchor="ref-hanski_metapopulation_2000">
        <w:r>
          <w:rPr>
            <w:rStyle w:val="Hyperlink"/>
          </w:rPr>
          <w:t xml:space="preserve">2000</w:t>
        </w:r>
      </w:hyperlink>
      <w:r>
        <w:t xml:space="preserve">), but the loss</w:t>
      </w:r>
      <w:r>
        <w:t xml:space="preserve"> </w:t>
      </w:r>
      <w:r>
        <w:t xml:space="preserve">and the fragmentation of patches alter species dispersal ability through</w:t>
      </w:r>
      <w:r>
        <w:t xml:space="preserve"> </w:t>
      </w:r>
      <w:r>
        <w:t xml:space="preserve">the loss of connectivity (Huang et al.</w:t>
      </w:r>
      <w:r>
        <w:t xml:space="preserve"> </w:t>
      </w:r>
      <w:hyperlink w:anchor="ref-huang_using_2019">
        <w:r>
          <w:rPr>
            <w:rStyle w:val="Hyperlink"/>
          </w:rPr>
          <w:t xml:space="preserve">2019</w:t>
        </w:r>
      </w:hyperlink>
      <w:r>
        <w:t xml:space="preserve">). As a result, the</w:t>
      </w:r>
      <w:r>
        <w:t xml:space="preserve"> </w:t>
      </w:r>
      <w:r>
        <w:t xml:space="preserve">metapopulation capacity declines by 82%.</w:t>
      </w:r>
    </w:p>
    <w:p>
      <w:pPr>
        <w:pStyle w:val="BodyText"/>
      </w:pPr>
      <w:r>
        <w:t xml:space="preserve">The decrease in metapopulation capacity surpasses that of habitat</w:t>
      </w:r>
      <w:r>
        <w:t xml:space="preserve"> </w:t>
      </w:r>
      <w:r>
        <w:t xml:space="preserve">amount, adding a spatial structure perspective to the assumptions made</w:t>
      </w:r>
      <w:r>
        <w:t xml:space="preserve"> </w:t>
      </w:r>
      <w:r>
        <w:t xml:space="preserve">by correlative approaches. The overall effect of climate warming is not</w:t>
      </w:r>
      <w:r>
        <w:t xml:space="preserve"> </w:t>
      </w:r>
      <w:r>
        <w:t xml:space="preserve">only to modify patch areas, but to change species’ ability to colonize</w:t>
      </w:r>
      <w:r>
        <w:t xml:space="preserve"> </w:t>
      </w:r>
      <w:r>
        <w:t xml:space="preserve">and occupy these patches.</w:t>
      </w:r>
    </w:p>
    <w:bookmarkStart w:id="42" w:name="fig:concept_metapop_structure"/>
    <w:p>
      <w:pPr>
        <w:pStyle w:val="CaptionedFigure"/>
      </w:pPr>
      <w:bookmarkStart w:id="41" w:name="fig:concept_metapop_structure"/>
      <w:r>
        <w:drawing>
          <wp:inline>
            <wp:extent cx="5943600" cy="2875441"/>
            <wp:effectExtent b="0" l="0" r="0" t="0"/>
            <wp:docPr descr="Species persistence is affected by changes to landscape connectivity as well as habitat amount. Black circles filled in grey delimit suitable habitat patches. The left panel presents a hypothetical mountainous landscape where suitable patches represent high elevation mountain tops and right panel the same landscape where patches contracted by an equal amount, simulating an elevation shift of climatic conditions on landscape suitability. Following patch contraction, metapopulation capacity declined by 82% whereas habitat amount only declined by 63%." title="" id="1" name="Picture"/>
            <a:graphic>
              <a:graphicData uri="http://schemas.openxmlformats.org/drawingml/2006/picture">
                <pic:pic>
                  <pic:nvPicPr>
                    <pic:cNvPr descr="./manuscript/img/concept_metapop_structure.png" id="0" name="Picture"/>
                    <pic:cNvPicPr>
                      <a:picLocks noChangeArrowheads="1" noChangeAspect="1"/>
                    </pic:cNvPicPr>
                  </pic:nvPicPr>
                  <pic:blipFill>
                    <a:blip r:embed="rId40"/>
                    <a:stretch>
                      <a:fillRect/>
                    </a:stretch>
                  </pic:blipFill>
                  <pic:spPr bwMode="auto">
                    <a:xfrm>
                      <a:off x="0" y="0"/>
                      <a:ext cx="5943600" cy="2875441"/>
                    </a:xfrm>
                    <a:prstGeom prst="rect">
                      <a:avLst/>
                    </a:prstGeom>
                    <a:noFill/>
                    <a:ln w="9525">
                      <a:noFill/>
                      <a:headEnd/>
                      <a:tailEnd/>
                    </a:ln>
                  </pic:spPr>
                </pic:pic>
              </a:graphicData>
            </a:graphic>
          </wp:inline>
        </w:drawing>
      </w:r>
      <w:bookmarkEnd w:id="41"/>
    </w:p>
    <w:p>
      <w:pPr>
        <w:pStyle w:val="ImageCaption"/>
      </w:pPr>
      <w:r>
        <w:t xml:space="preserve">Species persistence is affected by changes to landscape</w:t>
      </w:r>
      <w:r>
        <w:t xml:space="preserve"> </w:t>
      </w:r>
      <w:r>
        <w:t xml:space="preserve">connectivity as well as habitat amount. Black circles filled in grey</w:t>
      </w:r>
      <w:r>
        <w:t xml:space="preserve"> </w:t>
      </w:r>
      <w:r>
        <w:t xml:space="preserve">delimit suitable habitat patches. The left panel presents a hypothetical</w:t>
      </w:r>
      <w:r>
        <w:t xml:space="preserve"> </w:t>
      </w:r>
      <w:r>
        <w:t xml:space="preserve">mountainous landscape where suitable patches represent high elevation</w:t>
      </w:r>
      <w:r>
        <w:t xml:space="preserve"> </w:t>
      </w:r>
      <w:r>
        <w:t xml:space="preserve">mountain tops and right panel the same landscape where patches</w:t>
      </w:r>
      <w:r>
        <w:t xml:space="preserve"> </w:t>
      </w:r>
      <w:r>
        <w:t xml:space="preserve">contracted by an equal amount, simulating an elevation shift of climatic</w:t>
      </w:r>
      <w:r>
        <w:t xml:space="preserve"> </w:t>
      </w:r>
      <w:r>
        <w:t xml:space="preserve">conditions on landscape suitability. Following patch contraction,</w:t>
      </w:r>
      <w:r>
        <w:t xml:space="preserve"> </w:t>
      </w:r>
      <w:r>
        <w:t xml:space="preserve">metapopulation capacity declined by 82% whereas habitat amount only</w:t>
      </w:r>
      <w:r>
        <w:t xml:space="preserve"> </w:t>
      </w:r>
      <w:r>
        <w:t xml:space="preserve">declined by 63%.</w:t>
      </w:r>
    </w:p>
    <w:bookmarkEnd w:id="42"/>
    <w:bookmarkEnd w:id="43"/>
    <w:bookmarkStart w:id="63" w:name="X55a696678e614dc11143b4d542e8b8fa779e4af"/>
    <w:p>
      <w:pPr>
        <w:pStyle w:val="Heading1"/>
      </w:pPr>
      <w:r>
        <w:t xml:space="preserve">Case Study: Bicknell’s Thrush in North-Eastern</w:t>
      </w:r>
      <w:r>
        <w:t xml:space="preserve"> </w:t>
      </w:r>
      <w:r>
        <w:t xml:space="preserve">America</w:t>
      </w:r>
    </w:p>
    <w:p>
      <w:pPr>
        <w:pStyle w:val="FirstParagraph"/>
      </w:pPr>
      <w:r>
        <w:t xml:space="preserve">We illustrate the concepts presented in the previous section with a case</w:t>
      </w:r>
      <w:r>
        <w:t xml:space="preserve"> </w:t>
      </w:r>
      <w:r>
        <w:t xml:space="preserve">study of the Bicknell’s Thrush (</w:t>
      </w:r>
      <w:r>
        <w:rPr>
          <w:i/>
        </w:rPr>
        <w:t xml:space="preserve">Catharus bicknelli</w:t>
      </w:r>
      <w:r>
        <w:t xml:space="preserve">), a threatened</w:t>
      </w:r>
      <w:r>
        <w:t xml:space="preserve"> </w:t>
      </w:r>
      <w:r>
        <w:t xml:space="preserve">bird species in Canada (COSEWIC</w:t>
      </w:r>
      <w:r>
        <w:t xml:space="preserve"> </w:t>
      </w:r>
      <w:hyperlink w:anchor="ref-cosewic_cosewic_2009">
        <w:r>
          <w:rPr>
            <w:rStyle w:val="Hyperlink"/>
          </w:rPr>
          <w:t xml:space="preserve">2009</w:t>
        </w:r>
      </w:hyperlink>
      <w:r>
        <w:t xml:space="preserve">). Bicknell’s Thrush</w:t>
      </w:r>
      <w:r>
        <w:t xml:space="preserve"> </w:t>
      </w:r>
      <w:r>
        <w:t xml:space="preserve">is the smallest Nordic thrush within the</w:t>
      </w:r>
      <w:r>
        <w:t xml:space="preserve"> </w:t>
      </w:r>
      <w:r>
        <w:rPr>
          <w:i/>
        </w:rPr>
        <w:t xml:space="preserve">Catharus</w:t>
      </w:r>
      <w:r>
        <w:t xml:space="preserve"> </w:t>
      </w:r>
      <w:r>
        <w:t xml:space="preserve">genus and is</w:t>
      </w:r>
      <w:r>
        <w:t xml:space="preserve"> </w:t>
      </w:r>
      <w:r>
        <w:t xml:space="preserve">visually similar to the Grey-cheeked Thrush (</w:t>
      </w:r>
      <w:r>
        <w:rPr>
          <w:i/>
        </w:rPr>
        <w:t xml:space="preserve">Catharus minimus</w:t>
      </w:r>
      <w:r>
        <w:t xml:space="preserve">).</w:t>
      </w:r>
      <w:r>
        <w:t xml:space="preserve"> </w:t>
      </w:r>
      <w:r>
        <w:t xml:space="preserve">It migrates in Northeastern America from its wintering grounds in the</w:t>
      </w:r>
      <w:r>
        <w:t xml:space="preserve"> </w:t>
      </w:r>
      <w:r>
        <w:t xml:space="preserve">Greater Antilles and feeds on invertebrates and small fruits (Townsend</w:t>
      </w:r>
      <w:r>
        <w:t xml:space="preserve"> </w:t>
      </w:r>
      <w:r>
        <w:t xml:space="preserve">et al.</w:t>
      </w:r>
      <w:r>
        <w:t xml:space="preserve"> </w:t>
      </w:r>
      <w:hyperlink w:anchor="ref-billerman_bicknells_2020">
        <w:r>
          <w:rPr>
            <w:rStyle w:val="Hyperlink"/>
          </w:rPr>
          <w:t xml:space="preserve">2020</w:t>
        </w:r>
      </w:hyperlink>
      <w:r>
        <w:t xml:space="preserve">).</w:t>
      </w:r>
      <w:r>
        <w:t xml:space="preserve"> </w:t>
      </w:r>
      <w:r>
        <w:t xml:space="preserve">Populations are small and were reported to be declining in Canada</w:t>
      </w:r>
      <w:r>
        <w:t xml:space="preserve"> </w:t>
      </w:r>
      <w:r>
        <w:t xml:space="preserve">(COSEWIC</w:t>
      </w:r>
      <w:r>
        <w:t xml:space="preserve"> </w:t>
      </w:r>
      <w:hyperlink w:anchor="ref-cosewic_cosewic_2009">
        <w:r>
          <w:rPr>
            <w:rStyle w:val="Hyperlink"/>
          </w:rPr>
          <w:t xml:space="preserve">2009</w:t>
        </w:r>
      </w:hyperlink>
      <w:r>
        <w:t xml:space="preserve">). The</w:t>
      </w:r>
      <w:r>
        <w:t xml:space="preserve"> </w:t>
      </w:r>
      <w:r>
        <w:t xml:space="preserve">dispersal of Bicknell’s Thrush is not known with certainty, although it</w:t>
      </w:r>
      <w:r>
        <w:t xml:space="preserve"> </w:t>
      </w:r>
      <w:r>
        <w:t xml:space="preserve">has been suggested that adults nest near the site of previous successful</w:t>
      </w:r>
      <w:r>
        <w:t xml:space="preserve"> </w:t>
      </w:r>
      <w:r>
        <w:t xml:space="preserve">nesting while few yearlings are observed to come back to their site of</w:t>
      </w:r>
      <w:r>
        <w:t xml:space="preserve"> </w:t>
      </w:r>
      <w:r>
        <w:t xml:space="preserve">birth (Rimmer et al.</w:t>
      </w:r>
      <w:r>
        <w:t xml:space="preserve"> </w:t>
      </w:r>
      <w:hyperlink w:anchor="ref-rimmer_bicknells_2001">
        <w:r>
          <w:rPr>
            <w:rStyle w:val="Hyperlink"/>
          </w:rPr>
          <w:t xml:space="preserve">2001</w:t>
        </w:r>
      </w:hyperlink>
      <w:r>
        <w:t xml:space="preserve">, Collins</w:t>
      </w:r>
      <w:r>
        <w:t xml:space="preserve"> </w:t>
      </w:r>
      <w:hyperlink w:anchor="ref-collins_spatial_2007">
        <w:r>
          <w:rPr>
            <w:rStyle w:val="Hyperlink"/>
          </w:rPr>
          <w:t xml:space="preserve">2007</w:t>
        </w:r>
      </w:hyperlink>
      <w:r>
        <w:t xml:space="preserve">, Studds et al.</w:t>
      </w:r>
      <w:r>
        <w:t xml:space="preserve"> </w:t>
      </w:r>
      <w:hyperlink w:anchor="ref-studds_stable-hydrogen_2012">
        <w:r>
          <w:rPr>
            <w:rStyle w:val="Hyperlink"/>
          </w:rPr>
          <w:t xml:space="preserve">2012</w:t>
        </w:r>
      </w:hyperlink>
      <w:r>
        <w:t xml:space="preserve">). The</w:t>
      </w:r>
      <w:r>
        <w:t xml:space="preserve"> </w:t>
      </w:r>
      <w:r>
        <w:t xml:space="preserve">Bicknell’s Thrush is known to be associated with very dense balsam fir</w:t>
      </w:r>
      <w:r>
        <w:t xml:space="preserve"> </w:t>
      </w:r>
      <w:r>
        <w:t xml:space="preserve">(</w:t>
      </w:r>
      <w:r>
        <w:rPr>
          <w:i/>
        </w:rPr>
        <w:t xml:space="preserve">Abies Balsamea</w:t>
      </w:r>
      <w:r>
        <w:t xml:space="preserve">) forests, mostly at high elevations, resulting in</w:t>
      </w:r>
      <w:r>
        <w:t xml:space="preserve"> </w:t>
      </w:r>
      <w:r>
        <w:t xml:space="preserve">a fragmented and highly restricted range (COSEWIC</w:t>
      </w:r>
      <w:r>
        <w:t xml:space="preserve"> </w:t>
      </w:r>
      <w:hyperlink w:anchor="ref-cosewic_cosewic_2009">
        <w:r>
          <w:rPr>
            <w:rStyle w:val="Hyperlink"/>
          </w:rPr>
          <w:t xml:space="preserve">2009</w:t>
        </w:r>
      </w:hyperlink>
      <w:r>
        <w:t xml:space="preserve"> </w:t>
      </w:r>
      <w:r>
        <w:t xml:space="preserve">p.</w:t>
      </w:r>
      <w:r>
        <w:t xml:space="preserve"> </w:t>
      </w:r>
      <w:r>
        <w:t xml:space="preserve">@cadieux_spatially_2019). This habitat may be ephemeral, as natural</w:t>
      </w:r>
      <w:r>
        <w:t xml:space="preserve"> </w:t>
      </w:r>
      <w:r>
        <w:t xml:space="preserve">disturbances, forestry and stand succession could lead to local</w:t>
      </w:r>
      <w:r>
        <w:t xml:space="preserve"> </w:t>
      </w:r>
      <w:r>
        <w:t xml:space="preserve">extinctions. Furthermore, its distribution in mountainous areas is</w:t>
      </w:r>
      <w:r>
        <w:t xml:space="preserve"> </w:t>
      </w:r>
      <w:r>
        <w:t xml:space="preserve">highly contingent on climate elevation gradients. Climate change could</w:t>
      </w:r>
      <w:r>
        <w:t xml:space="preserve"> </w:t>
      </w:r>
      <w:r>
        <w:t xml:space="preserve">therefore pose a major threat to the persistence of this species as</w:t>
      </w:r>
      <w:r>
        <w:t xml:space="preserve"> </w:t>
      </w:r>
      <w:r>
        <w:t xml:space="preserve">favourable climatic conditions within isolated habitat patches could</w:t>
      </w:r>
      <w:r>
        <w:t xml:space="preserve"> </w:t>
      </w:r>
      <w:r>
        <w:t xml:space="preserve">shrink rapidly (Rodenhouse et al.</w:t>
      </w:r>
      <w:r>
        <w:t xml:space="preserve"> </w:t>
      </w:r>
      <w:hyperlink w:anchor="ref-rodenhouse_potential_2008">
        <w:r>
          <w:rPr>
            <w:rStyle w:val="Hyperlink"/>
          </w:rPr>
          <w:t xml:space="preserve">2008</w:t>
        </w:r>
      </w:hyperlink>
      <w:r>
        <w:t xml:space="preserve">). Unfavourable</w:t>
      </w:r>
      <w:r>
        <w:t xml:space="preserve"> </w:t>
      </w:r>
      <w:r>
        <w:t xml:space="preserve">abiotic conditions are predicted to increase at the edges of mountaintop</w:t>
      </w:r>
      <w:r>
        <w:t xml:space="preserve"> </w:t>
      </w:r>
      <w:r>
        <w:t xml:space="preserve">fir forest patches with the warming of climate and the limited response</w:t>
      </w:r>
      <w:r>
        <w:t xml:space="preserve"> </w:t>
      </w:r>
      <w:r>
        <w:t xml:space="preserve">capacity of boreal tree species (Talluto et al.</w:t>
      </w:r>
      <w:r>
        <w:t xml:space="preserve"> </w:t>
      </w:r>
      <w:hyperlink w:anchor="ref-talluto_extinction_2017">
        <w:r>
          <w:rPr>
            <w:rStyle w:val="Hyperlink"/>
          </w:rPr>
          <w:t xml:space="preserve">2017</w:t>
        </w:r>
      </w:hyperlink>
      <w:r>
        <w:t xml:space="preserve">, Vissault et al.</w:t>
      </w:r>
      <w:r>
        <w:t xml:space="preserve"> </w:t>
      </w:r>
      <w:hyperlink w:anchor="ref-vissault_slow_2020">
        <w:r>
          <w:rPr>
            <w:rStyle w:val="Hyperlink"/>
          </w:rPr>
          <w:t xml:space="preserve">2020</w:t>
        </w:r>
      </w:hyperlink>
      <w:r>
        <w:t xml:space="preserve">).</w:t>
      </w:r>
    </w:p>
    <w:p>
      <w:pPr>
        <w:pStyle w:val="BodyText"/>
      </w:pPr>
      <w:r>
        <w:t xml:space="preserve">In the following section, we project the changes to the Bicknell’s</w:t>
      </w:r>
      <w:r>
        <w:t xml:space="preserve"> </w:t>
      </w:r>
      <w:r>
        <w:t xml:space="preserve">Thrush breeding range in response to climate forcing using a standard</w:t>
      </w:r>
      <w:r>
        <w:t xml:space="preserve"> </w:t>
      </w:r>
      <w:r>
        <w:t xml:space="preserve">correlative approach. We then leverage the projections using the</w:t>
      </w:r>
      <w:r>
        <w:t xml:space="preserve"> </w:t>
      </w:r>
      <w:r>
        <w:t xml:space="preserve">concepts developed above to analyze the total amount of favourable</w:t>
      </w:r>
      <w:r>
        <w:t xml:space="preserve"> </w:t>
      </w:r>
      <w:r>
        <w:t xml:space="preserve">habitat, the distribution of patch areas, their connectivity, and the</w:t>
      </w:r>
      <w:r>
        <w:t xml:space="preserve"> </w:t>
      </w:r>
      <w:r>
        <w:t xml:space="preserve">metapopulation capacity. Finally, we compare Bicknell’s Thrush</w:t>
      </w:r>
      <w:r>
        <w:t xml:space="preserve"> </w:t>
      </w:r>
      <w:r>
        <w:t xml:space="preserve">favourable landscapes under climate-only change and climate-induced</w:t>
      </w:r>
      <w:r>
        <w:t xml:space="preserve"> </w:t>
      </w:r>
      <w:r>
        <w:t xml:space="preserve">forest change scenarios to illustrate arising climate-habitat mismatch.</w:t>
      </w:r>
      <w:r>
        <w:t xml:space="preserve"> </w:t>
      </w:r>
      <w:r>
        <w:t xml:space="preserve">Thereby, we wish to reveal the joint effects of these two components of</w:t>
      </w:r>
      <w:r>
        <w:t xml:space="preserve"> </w:t>
      </w:r>
      <w:r>
        <w:t xml:space="preserve">Bicknell’s Thrush’s distribution and demonstrate their importance on</w:t>
      </w:r>
      <w:r>
        <w:t xml:space="preserve"> </w:t>
      </w:r>
      <w:r>
        <w:t xml:space="preserve">distribution dynamics.</w:t>
      </w:r>
    </w:p>
    <w:bookmarkStart w:id="44" w:name="methods"/>
    <w:p>
      <w:pPr>
        <w:pStyle w:val="Heading2"/>
      </w:pPr>
      <w:r>
        <w:t xml:space="preserve">Methods</w:t>
      </w:r>
    </w:p>
    <w:bookmarkEnd w:id="44"/>
    <w:bookmarkStart w:id="45" w:name="studied-region"/>
    <w:p>
      <w:pPr>
        <w:pStyle w:val="Heading3"/>
      </w:pPr>
      <w:r>
        <w:t xml:space="preserve">Studied region</w:t>
      </w:r>
    </w:p>
    <w:bookmarkEnd w:id="45"/>
    <w:p>
      <w:pPr>
        <w:pStyle w:val="FirstParagraph"/>
      </w:pPr>
      <w:r>
        <w:t xml:space="preserve">The Bicknell’s Thrush breeding range was projected for the region where</w:t>
      </w:r>
      <w:r>
        <w:t xml:space="preserve"> </w:t>
      </w:r>
      <w:r>
        <w:t xml:space="preserve">the majority of the Canadian occurrences are identified (COSEWIC</w:t>
      </w:r>
      <w:r>
        <w:t xml:space="preserve"> </w:t>
      </w:r>
      <w:hyperlink w:anchor="ref-cosewic_cosewic_2009">
        <w:r>
          <w:rPr>
            <w:rStyle w:val="Hyperlink"/>
          </w:rPr>
          <w:t xml:space="preserve">2009</w:t>
        </w:r>
      </w:hyperlink>
      <w:r>
        <w:t xml:space="preserve">, Townsend et al.</w:t>
      </w:r>
      <w:r>
        <w:t xml:space="preserve"> </w:t>
      </w:r>
      <w:hyperlink w:anchor="ref-billerman_bicknells_2020">
        <w:r>
          <w:rPr>
            <w:rStyle w:val="Hyperlink"/>
          </w:rPr>
          <w:t xml:space="preserve">2020</w:t>
        </w:r>
      </w:hyperlink>
      <w:r>
        <w:t xml:space="preserve">). Populations are</w:t>
      </w:r>
      <w:r>
        <w:t xml:space="preserve"> </w:t>
      </w:r>
      <w:r>
        <w:t xml:space="preserve">primarily found in the province of Québec, specifically in the</w:t>
      </w:r>
      <w:r>
        <w:t xml:space="preserve"> </w:t>
      </w:r>
      <w:r>
        <w:t xml:space="preserve">Appalachian Mountains in the southeast and the Laurentians Mountains</w:t>
      </w:r>
      <w:r>
        <w:t xml:space="preserve"> </w:t>
      </w:r>
      <w:r>
        <w:t xml:space="preserve">north of the St. Lawrence River. The landscape is composed of boreal,</w:t>
      </w:r>
      <w:r>
        <w:t xml:space="preserve"> </w:t>
      </w:r>
      <w:r>
        <w:t xml:space="preserve">mixed and temperate forests, with their distributions mainly driven by</w:t>
      </w:r>
      <w:r>
        <w:t xml:space="preserve"> </w:t>
      </w:r>
      <w:r>
        <w:t xml:space="preserve">climatic latitudinal and elevational gradients. Mean annual temperature</w:t>
      </w:r>
      <w:r>
        <w:t xml:space="preserve"> </w:t>
      </w:r>
      <w:r>
        <w:t xml:space="preserve">ranges from -4.0 to 7.5 °C in this region, but the Bicknell’s Thrush</w:t>
      </w:r>
      <w:r>
        <w:t xml:space="preserve"> </w:t>
      </w:r>
      <w:r>
        <w:t xml:space="preserve">occupies locations with a more restricted range because of its</w:t>
      </w:r>
      <w:r>
        <w:t xml:space="preserve"> </w:t>
      </w:r>
      <w:r>
        <w:t xml:space="preserve">preference for high-elevation areas. Annual precipitation ranges from</w:t>
      </w:r>
      <w:r>
        <w:t xml:space="preserve"> </w:t>
      </w:r>
      <w:r>
        <w:t xml:space="preserve">730 to 950 mm.</w:t>
      </w:r>
    </w:p>
    <w:bookmarkStart w:id="46" w:name="data"/>
    <w:p>
      <w:pPr>
        <w:pStyle w:val="Heading3"/>
      </w:pPr>
      <w:r>
        <w:t xml:space="preserve">Data</w:t>
      </w:r>
    </w:p>
    <w:bookmarkEnd w:id="46"/>
    <w:p>
      <w:pPr>
        <w:pStyle w:val="FirstParagraph"/>
      </w:pPr>
      <w:r>
        <w:t xml:space="preserve">Distribution data consisted of 6,079 observations of nesting behaviour</w:t>
      </w:r>
      <w:r>
        <w:t xml:space="preserve"> </w:t>
      </w:r>
      <w:r>
        <w:t xml:space="preserve">sampled from 1994 to 2020 and was provided by the le</w:t>
      </w:r>
      <w:r>
        <w:t xml:space="preserve"> </w:t>
      </w:r>
      <w:r>
        <w:rPr>
          <w:i/>
        </w:rPr>
        <w:t xml:space="preserve">Regroupement</w:t>
      </w:r>
      <w:r>
        <w:rPr>
          <w:i/>
        </w:rPr>
        <w:t xml:space="preserve"> </w:t>
      </w:r>
      <w:r>
        <w:rPr>
          <w:i/>
        </w:rPr>
        <w:t xml:space="preserve">QuébecOiseaux</w:t>
      </w:r>
      <w:r>
        <w:t xml:space="preserve"> </w:t>
      </w:r>
      <w:r>
        <w:t xml:space="preserve">(SOS-POP</w:t>
      </w:r>
      <w:r>
        <w:t xml:space="preserve"> </w:t>
      </w:r>
      <w:hyperlink w:anchor="ref-sos-pop_banque_2021">
        <w:r>
          <w:rPr>
            <w:rStyle w:val="Hyperlink"/>
          </w:rPr>
          <w:t xml:space="preserve">2021</w:t>
        </w:r>
      </w:hyperlink>
      <w:r>
        <w:t xml:space="preserve">). It contains</w:t>
      </w:r>
      <w:r>
        <w:t xml:space="preserve"> </w:t>
      </w:r>
      <w:r>
        <w:t xml:space="preserve">observations from various sources, including scientific surveys and</w:t>
      </w:r>
      <w:r>
        <w:t xml:space="preserve"> </w:t>
      </w:r>
      <w:r>
        <w:t xml:space="preserve">citizen science. The region of interest was rasterized on a grid of 250</w:t>
      </w:r>
      <w:r>
        <w:t xml:space="preserve"> </w:t>
      </w:r>
      <w:r>
        <w:t xml:space="preserve">x 250 m cells, where an observation within a cell was defined as a</w:t>
      </w:r>
      <w:r>
        <w:t xml:space="preserve"> </w:t>
      </w:r>
      <w:r>
        <w:t xml:space="preserve">presence and the other cells were left empty. By gridding the region of</w:t>
      </w:r>
      <w:r>
        <w:t xml:space="preserve"> </w:t>
      </w:r>
      <w:r>
        <w:t xml:space="preserve">interest, we considered the locations where one or more observations</w:t>
      </w:r>
      <w:r>
        <w:t xml:space="preserve"> </w:t>
      </w:r>
      <w:r>
        <w:t xml:space="preserve">were made as a single presence, accounting for any potential effects of</w:t>
      </w:r>
      <w:r>
        <w:t xml:space="preserve"> </w:t>
      </w:r>
      <w:r>
        <w:t xml:space="preserve">temporal and spatial pseudo-replication resulting, for example, from</w:t>
      </w:r>
      <w:r>
        <w:t xml:space="preserve"> </w:t>
      </w:r>
      <w:r>
        <w:t xml:space="preserve">multiple sightings of the one individual in the same location.</w:t>
      </w:r>
    </w:p>
    <w:p>
      <w:pPr>
        <w:pStyle w:val="BodyText"/>
      </w:pPr>
      <w:r>
        <w:t xml:space="preserve">Temperature, precipitation, elevation, and balsam fir biomass were used</w:t>
      </w:r>
      <w:r>
        <w:t xml:space="preserve"> </w:t>
      </w:r>
      <w:r>
        <w:t xml:space="preserve">to model occurrences. This selection of variables was motivated by</w:t>
      </w:r>
      <w:r>
        <w:t xml:space="preserve"> </w:t>
      </w:r>
      <w:r>
        <w:t xml:space="preserve">expert knowledge as best reflecting Bicknell’s Thrush preference for</w:t>
      </w:r>
      <w:r>
        <w:t xml:space="preserve"> </w:t>
      </w:r>
      <w:r>
        <w:t xml:space="preserve">high elevation and fir dominated habitats (COSEWIC</w:t>
      </w:r>
      <w:r>
        <w:t xml:space="preserve"> </w:t>
      </w:r>
      <w:hyperlink w:anchor="ref-cosewic_cosewic_2009">
        <w:r>
          <w:rPr>
            <w:rStyle w:val="Hyperlink"/>
          </w:rPr>
          <w:t xml:space="preserve">2009</w:t>
        </w:r>
      </w:hyperlink>
      <w:r>
        <w:t xml:space="preserve">, Townsend et al.</w:t>
      </w:r>
      <w:r>
        <w:t xml:space="preserve"> </w:t>
      </w:r>
      <w:hyperlink w:anchor="ref-billerman_bicknells_2020">
        <w:r>
          <w:rPr>
            <w:rStyle w:val="Hyperlink"/>
          </w:rPr>
          <w:t xml:space="preserve">2020</w:t>
        </w:r>
      </w:hyperlink>
      <w:r>
        <w:t xml:space="preserve">). Mean annual</w:t>
      </w:r>
      <w:r>
        <w:t xml:space="preserve"> </w:t>
      </w:r>
      <w:r>
        <w:t xml:space="preserve">temperature and total annual precipitation were interpolated from</w:t>
      </w:r>
      <w:r>
        <w:t xml:space="preserve"> </w:t>
      </w:r>
      <w:r>
        <w:t xml:space="preserve">climate station records for the 1981-2010 period to produce a time</w:t>
      </w:r>
      <w:r>
        <w:t xml:space="preserve"> </w:t>
      </w:r>
      <w:r>
        <w:t xml:space="preserve">series of annual means (McKenney et al.</w:t>
      </w:r>
      <w:r>
        <w:t xml:space="preserve"> </w:t>
      </w:r>
      <w:hyperlink w:anchor="ref-mckenney_spatial_2013">
        <w:r>
          <w:rPr>
            <w:rStyle w:val="Hyperlink"/>
          </w:rPr>
          <w:t xml:space="preserve">2013</w:t>
        </w:r>
      </w:hyperlink>
      <w:r>
        <w:t xml:space="preserve">). Data from a</w:t>
      </w:r>
      <w:r>
        <w:t xml:space="preserve"> </w:t>
      </w:r>
      <w:r>
        <w:t xml:space="preserve">georeferenced 10 km climate grid (McKenney et al.</w:t>
      </w:r>
      <w:r>
        <w:t xml:space="preserve"> </w:t>
      </w:r>
      <w:hyperlink w:anchor="ref-mckenney_spatial_2013">
        <w:r>
          <w:rPr>
            <w:rStyle w:val="Hyperlink"/>
          </w:rPr>
          <w:t xml:space="preserve">2013</w:t>
        </w:r>
      </w:hyperlink>
      <w:r>
        <w:t xml:space="preserve">) were projected to</w:t>
      </w:r>
      <w:r>
        <w:t xml:space="preserve"> </w:t>
      </w:r>
      <w:r>
        <w:t xml:space="preserve">each 250 m grid cell centroid and adjusted for differences in latitude,</w:t>
      </w:r>
      <w:r>
        <w:t xml:space="preserve"> </w:t>
      </w:r>
      <w:r>
        <w:t xml:space="preserve">longitude and elevation with spatial regression using BioSIM v11</w:t>
      </w:r>
      <w:r>
        <w:t xml:space="preserve"> </w:t>
      </w:r>
      <w:r>
        <w:t xml:space="preserve">(R’egni‘ere et al.</w:t>
      </w:r>
      <w:r>
        <w:t xml:space="preserve"> </w:t>
      </w:r>
      <w:hyperlink w:anchor="ref-regniere_biosim_2017">
        <w:r>
          <w:rPr>
            <w:rStyle w:val="Hyperlink"/>
          </w:rPr>
          <w:t xml:space="preserve">2017</w:t>
        </w:r>
      </w:hyperlink>
      <w:r>
        <w:t xml:space="preserve">, R’egni‘ere and</w:t>
      </w:r>
      <w:r>
        <w:t xml:space="preserve"> </w:t>
      </w:r>
      <w:r>
        <w:t xml:space="preserve">St-Amant</w:t>
      </w:r>
      <w:r>
        <w:t xml:space="preserve"> </w:t>
      </w:r>
      <w:hyperlink w:anchor="ref-regniere_stochastic_2007">
        <w:r>
          <w:rPr>
            <w:rStyle w:val="Hyperlink"/>
          </w:rPr>
          <w:t xml:space="preserve">2007</w:t>
        </w:r>
      </w:hyperlink>
      <w:r>
        <w:t xml:space="preserve">). BioSIM</w:t>
      </w:r>
      <w:r>
        <w:t xml:space="preserve"> </w:t>
      </w:r>
      <w:r>
        <w:t xml:space="preserve">is capable of interpolating climate parameters at specific locations</w:t>
      </w:r>
      <w:r>
        <w:t xml:space="preserve"> </w:t>
      </w:r>
      <w:r>
        <w:t xml:space="preserve">given that digital elevation mapping, which is used as an independent</w:t>
      </w:r>
      <w:r>
        <w:t xml:space="preserve"> </w:t>
      </w:r>
      <w:r>
        <w:t xml:space="preserve">variable in the model, is provided. Forest composition in individual</w:t>
      </w:r>
      <w:r>
        <w:t xml:space="preserve"> </w:t>
      </w:r>
      <w:r>
        <w:t xml:space="preserve">grid cells was obtained from LANDIS-II biomass outputs at simulation</w:t>
      </w:r>
      <w:r>
        <w:t xml:space="preserve"> </w:t>
      </w:r>
      <w:r>
        <w:t xml:space="preserve">time = 0 (see below) which was initialized using provincial ecoforestry</w:t>
      </w:r>
      <w:r>
        <w:t xml:space="preserve"> </w:t>
      </w:r>
      <w:r>
        <w:t xml:space="preserve">provincial maps and temporary forest inventory plots (see Boulanger and</w:t>
      </w:r>
      <w:r>
        <w:t xml:space="preserve"> </w:t>
      </w:r>
      <w:r>
        <w:t xml:space="preserve">Pascual Puigdevall</w:t>
      </w:r>
      <w:r>
        <w:t xml:space="preserve"> </w:t>
      </w:r>
      <w:hyperlink w:anchor="ref-boulanger_boreal_2021">
        <w:r>
          <w:rPr>
            <w:rStyle w:val="Hyperlink"/>
          </w:rPr>
          <w:t xml:space="preserve">2021</w:t>
        </w:r>
      </w:hyperlink>
      <w:r>
        <w:t xml:space="preserve">).</w:t>
      </w:r>
      <w:r>
        <w:t xml:space="preserve"> </w:t>
      </w:r>
      <w:r>
        <w:t xml:space="preserve">Absolute fir biomass was considered along with relative biomass to</w:t>
      </w:r>
      <w:r>
        <w:t xml:space="preserve"> </w:t>
      </w:r>
      <w:r>
        <w:t xml:space="preserve">describe Bicknell’s Thrush preference for dense fir stands (Cadieux et</w:t>
      </w:r>
      <w:r>
        <w:t xml:space="preserve"> </w:t>
      </w:r>
      <w:r>
        <w:t xml:space="preserve">al.</w:t>
      </w:r>
      <w:r>
        <w:t xml:space="preserve"> </w:t>
      </w:r>
      <w:hyperlink w:anchor="ref-cadieux_spatially_2019">
        <w:r>
          <w:rPr>
            <w:rStyle w:val="Hyperlink"/>
          </w:rPr>
          <w:t xml:space="preserve">2019</w:t>
        </w:r>
      </w:hyperlink>
      <w:r>
        <w:t xml:space="preserve">). Elevation</w:t>
      </w:r>
      <w:r>
        <w:t xml:space="preserve"> </w:t>
      </w:r>
      <w:r>
        <w:t xml:space="preserve">data was obtained using the elevatr R package, then was rasterized at a</w:t>
      </w:r>
      <w:r>
        <w:t xml:space="preserve"> </w:t>
      </w:r>
      <w:r>
        <w:t xml:space="preserve">250 m resolution (Hollister et al.</w:t>
      </w:r>
      <w:r>
        <w:t xml:space="preserve"> </w:t>
      </w:r>
      <w:hyperlink w:anchor="ref-hollister_elevatr_2021">
        <w:r>
          <w:rPr>
            <w:rStyle w:val="Hyperlink"/>
          </w:rPr>
          <w:t xml:space="preserve">2021</w:t>
        </w:r>
      </w:hyperlink>
      <w:r>
        <w:t xml:space="preserve">).</w:t>
      </w:r>
    </w:p>
    <w:bookmarkStart w:id="47" w:name="breeding-range-model"/>
    <w:p>
      <w:pPr>
        <w:pStyle w:val="Heading3"/>
      </w:pPr>
      <w:r>
        <w:t xml:space="preserve">Breeding range model</w:t>
      </w:r>
    </w:p>
    <w:bookmarkEnd w:id="47"/>
    <w:p>
      <w:pPr>
        <w:pStyle w:val="FirstParagraph"/>
      </w:pPr>
      <w:r>
        <w:t xml:space="preserve">We estimated the number of observations per cell of the Bicknell’s</w:t>
      </w:r>
      <w:r>
        <w:t xml:space="preserve"> </w:t>
      </w:r>
      <w:r>
        <w:t xml:space="preserve">Thrush using downweighted Poisson regression (Renner et al.</w:t>
      </w:r>
      <w:r>
        <w:t xml:space="preserve"> </w:t>
      </w:r>
      <w:hyperlink w:anchor="ref-renner_point_2015">
        <w:r>
          <w:rPr>
            <w:rStyle w:val="Hyperlink"/>
          </w:rPr>
          <w:t xml:space="preserve">2015</w:t>
        </w:r>
      </w:hyperlink>
      <w:r>
        <w:t xml:space="preserve">); a point process model</w:t>
      </w:r>
      <w:r>
        <w:t xml:space="preserve"> </w:t>
      </w:r>
      <w:r>
        <w:t xml:space="preserve">for presence only data where locations of presences and of quadrature</w:t>
      </w:r>
      <w:r>
        <w:t xml:space="preserve"> </w:t>
      </w:r>
      <w:r>
        <w:t xml:space="preserve">points (spatially random data points necessary to estimate the species</w:t>
      </w:r>
      <w:r>
        <w:t xml:space="preserve"> </w:t>
      </w:r>
      <w:r>
        <w:t xml:space="preserve">distribution) are modelled as a function of environmental variables. In</w:t>
      </w:r>
      <w:r>
        <w:t xml:space="preserve"> </w:t>
      </w:r>
      <w:r>
        <w:t xml:space="preserve">a downweighted Poisson regression, large weights are assigned to</w:t>
      </w:r>
      <w:r>
        <w:t xml:space="preserve"> </w:t>
      </w:r>
      <w:r>
        <w:t xml:space="preserve">quadrature points and small weights to observations such that presence</w:t>
      </w:r>
      <w:r>
        <w:t xml:space="preserve"> </w:t>
      </w:r>
      <w:r>
        <w:t xml:space="preserve">location points comprise a very small portion of the data used to</w:t>
      </w:r>
      <w:r>
        <w:t xml:space="preserve"> </w:t>
      </w:r>
      <w:r>
        <w:t xml:space="preserve">estimate the model. The effect is similar to applying a spatial scaling</w:t>
      </w:r>
      <w:r>
        <w:t xml:space="preserve"> </w:t>
      </w:r>
      <w:r>
        <w:t xml:space="preserve">so that the response is modelled as the number of observations per cell.</w:t>
      </w:r>
    </w:p>
    <w:p>
      <w:pPr>
        <w:pStyle w:val="BodyText"/>
      </w:pPr>
      <w:r>
        <w:t xml:space="preserve">We modelled observation records as a function of climate, elevation, and</w:t>
      </w:r>
      <w:r>
        <w:t xml:space="preserve"> </w:t>
      </w:r>
      <w:r>
        <w:t xml:space="preserve">forest composition with 250m resolution as</w:t>
      </w:r>
    </w:p>
    <w:p>
      <w:pPr>
        <w:pStyle w:val="BodyText"/>
      </w:pPr>
      <m:oMathPara>
        <m:oMathParaPr>
          <m:jc m:val="center"/>
        </m:oMathParaPr>
        <m:oMath>
          <m:r>
            <m:rPr>
              <m:nor/>
              <m:sty m:val="p"/>
            </m:rPr>
            <m:t>Presence Points</m:t>
          </m:r>
          <m:r>
            <m:t>=</m:t>
          </m:r>
          <m:r>
            <m:t>α</m:t>
          </m:r>
          <m:r>
            <m:t>+</m:t>
          </m:r>
          <m:sSub>
            <m:e>
              <m:r>
                <m:t>β</m:t>
              </m:r>
            </m:e>
            <m:sub>
              <m:r>
                <m:t>1</m:t>
              </m:r>
            </m:sub>
          </m:sSub>
          <m:r>
            <m:t>(</m:t>
          </m:r>
          <m:r>
            <m:rPr>
              <m:nor/>
              <m:sty m:val="p"/>
            </m:rPr>
            <m:t>temperature</m:t>
          </m:r>
          <m:r>
            <m:t>)</m:t>
          </m:r>
          <m:r>
            <m:t>+</m:t>
          </m:r>
          <m:sSub>
            <m:e>
              <m:r>
                <m:t>β</m:t>
              </m:r>
            </m:e>
            <m:sub>
              <m:r>
                <m:t>2</m:t>
              </m:r>
            </m:sub>
          </m:sSub>
          <m:r>
            <m:t>(</m:t>
          </m:r>
          <m:sSup>
            <m:e>
              <m:r>
                <m:rPr>
                  <m:nor/>
                  <m:sty m:val="p"/>
                </m:rPr>
                <m:t>temperature</m:t>
              </m:r>
            </m:e>
            <m:sup>
              <m:r>
                <m:t>2</m:t>
              </m:r>
            </m:sup>
          </m:sSup>
          <m:r>
            <m:t>)</m:t>
          </m:r>
        </m:oMath>
      </m:oMathPara>
    </w:p>
    <w:p>
      <w:pPr>
        <w:pStyle w:val="FirstParagraph"/>
      </w:pPr>
      <m:oMathPara>
        <m:oMathParaPr>
          <m:jc m:val="center"/>
        </m:oMathParaPr>
        <m:oMath>
          <m:r>
            <m:t>+</m:t>
          </m:r>
          <m:sSub>
            <m:e>
              <m:r>
                <m:t>β</m:t>
              </m:r>
            </m:e>
            <m:sub>
              <m:r>
                <m:t>3</m:t>
              </m:r>
            </m:sub>
          </m:sSub>
          <m:r>
            <m:t>(</m:t>
          </m:r>
          <m:r>
            <m:rPr>
              <m:nor/>
              <m:sty m:val="p"/>
            </m:rPr>
            <m:t>precipitation</m:t>
          </m:r>
          <m:r>
            <m:t>)</m:t>
          </m:r>
          <m:r>
            <m:t>+</m:t>
          </m:r>
          <m:sSub>
            <m:e>
              <m:r>
                <m:t>β</m:t>
              </m:r>
            </m:e>
            <m:sub>
              <m:r>
                <m:t>4</m:t>
              </m:r>
            </m:sub>
          </m:sSub>
          <m:r>
            <m:t>(</m:t>
          </m:r>
          <m:r>
            <m:rPr>
              <m:nor/>
              <m:sty m:val="p"/>
            </m:rPr>
            <m:t>elevation</m:t>
          </m:r>
          <m:r>
            <m:t>)</m:t>
          </m:r>
          <m:r>
            <m:t>+</m:t>
          </m:r>
          <m:sSub>
            <m:e>
              <m:r>
                <m:t>β</m:t>
              </m:r>
            </m:e>
            <m:sub>
              <m:r>
                <m:t>5</m:t>
              </m:r>
            </m:sub>
          </m:sSub>
          <m:r>
            <m:t>(</m:t>
          </m:r>
          <m:r>
            <m:rPr>
              <m:nor/>
              <m:sty m:val="p"/>
            </m:rPr>
            <m:t>firBiomass</m:t>
          </m:r>
          <m:r>
            <m:t>)</m:t>
          </m:r>
          <m:r>
            <m:t>+</m:t>
          </m:r>
          <m:sSub>
            <m:e>
              <m:r>
                <m:t>β</m:t>
              </m:r>
            </m:e>
            <m:sub>
              <m:r>
                <m:t>6</m:t>
              </m:r>
            </m:sub>
          </m:sSub>
          <m:r>
            <m:t>(</m:t>
          </m:r>
          <m:r>
            <m:rPr>
              <m:nor/>
              <m:sty m:val="p"/>
            </m:rPr>
            <m:t>firRelativeBiomass</m:t>
          </m:r>
          <m:r>
            <m:t>)</m:t>
          </m:r>
        </m:oMath>
      </m:oMathPara>
    </w:p>
    <w:p>
      <w:pPr>
        <w:pStyle w:val="FirstParagraph"/>
      </w:pPr>
      <m:oMathPara>
        <m:oMathParaPr>
          <m:jc m:val="center"/>
        </m:oMathParaPr>
        <m:oMath>
          <m:r>
            <m:t>+</m:t>
          </m:r>
          <m:sSub>
            <m:e>
              <m:r>
                <m:t>β</m:t>
              </m:r>
            </m:e>
            <m:sub>
              <m:r>
                <m:t>7</m:t>
              </m:r>
            </m:sub>
          </m:sSub>
          <m:r>
            <m:t>(</m:t>
          </m:r>
          <m:r>
            <m:rPr>
              <m:nor/>
              <m:sty m:val="p"/>
            </m:rPr>
            <m:t>firBiomass</m:t>
          </m:r>
          <m:r>
            <m:t>×</m:t>
          </m:r>
          <m:r>
            <m:rPr>
              <m:nor/>
              <m:sty m:val="p"/>
            </m:rPr>
            <m:t>firRelativeBiomass</m:t>
          </m:r>
          <m:r>
            <m:t>)</m:t>
          </m:r>
          <m:r>
            <m:t>+</m:t>
          </m:r>
          <m:r>
            <m:t>ε</m:t>
          </m:r>
        </m:oMath>
      </m:oMathPara>
    </w:p>
    <w:p>
      <w:pPr>
        <w:pStyle w:val="FirstParagraph"/>
      </w:pPr>
      <w:r>
        <w:t xml:space="preserve">where</w:t>
      </w:r>
      <w:r>
        <w:t xml:space="preserve"> </w:t>
      </w:r>
      <m:oMath>
        <m:r>
          <m:t>ε</m:t>
        </m:r>
        <m:r>
          <m:t>∼</m:t>
        </m:r>
        <m:r>
          <m:t>P</m:t>
        </m:r>
        <m:r>
          <m:t>o</m:t>
        </m:r>
        <m:r>
          <m:t>i</m:t>
        </m:r>
        <m:r>
          <m:t>s</m:t>
        </m:r>
        <m:r>
          <m:t>s</m:t>
        </m:r>
        <m:r>
          <m:t>o</m:t>
        </m:r>
        <m:r>
          <m:t>n</m:t>
        </m:r>
        <m:r>
          <m:t>(</m:t>
        </m:r>
        <m:r>
          <m:t>λ</m:t>
        </m:r>
        <m:r>
          <m:t>)</m:t>
        </m:r>
      </m:oMath>
      <w:r>
        <w:t xml:space="preserve">). Temperature was considered</w:t>
      </w:r>
      <w:r>
        <w:t xml:space="preserve"> </w:t>
      </w:r>
      <w:r>
        <w:t xml:space="preserve">quadratically to describe both warm and cold limits. Other variables are</w:t>
      </w:r>
      <w:r>
        <w:t xml:space="preserve"> </w:t>
      </w:r>
      <w:r>
        <w:t xml:space="preserve">taught to describe broad preferences and were therefore considered as</w:t>
      </w:r>
      <w:r>
        <w:t xml:space="preserve"> </w:t>
      </w:r>
      <w:r>
        <w:t xml:space="preserve">linear relationships (COSEWIC</w:t>
      </w:r>
      <w:r>
        <w:t xml:space="preserve"> </w:t>
      </w:r>
      <w:hyperlink w:anchor="ref-cosewic_cosewic_2009">
        <w:r>
          <w:rPr>
            <w:rStyle w:val="Hyperlink"/>
          </w:rPr>
          <w:t xml:space="preserve">2009</w:t>
        </w:r>
      </w:hyperlink>
      <w:r>
        <w:t xml:space="preserve">, Townsend et al.</w:t>
      </w:r>
      <w:r>
        <w:t xml:space="preserve"> </w:t>
      </w:r>
      <w:hyperlink w:anchor="ref-billerman_bicknells_2020">
        <w:r>
          <w:rPr>
            <w:rStyle w:val="Hyperlink"/>
          </w:rPr>
          <w:t xml:space="preserve">2020</w:t>
        </w:r>
      </w:hyperlink>
      <w:r>
        <w:t xml:space="preserve">). Absolute fir</w:t>
      </w:r>
      <w:r>
        <w:t xml:space="preserve"> </w:t>
      </w:r>
      <w:r>
        <w:t xml:space="preserve">biomass was also considered in interaction with relative biomass to</w:t>
      </w:r>
      <w:r>
        <w:t xml:space="preserve"> </w:t>
      </w:r>
      <w:r>
        <w:t xml:space="preserve">describe both stand development and composition. We randomly positioned</w:t>
      </w:r>
      <w:r>
        <w:t xml:space="preserve"> </w:t>
      </w:r>
      <w:r>
        <w:t xml:space="preserve">quadrature points to cover most environmental variability and to</w:t>
      </w:r>
      <w:r>
        <w:t xml:space="preserve"> </w:t>
      </w:r>
      <w:r>
        <w:t xml:space="preserve">maximize the accuracy of the likelihood estimation (Renner et al.</w:t>
      </w:r>
      <w:r>
        <w:t xml:space="preserve"> </w:t>
      </w:r>
      <w:hyperlink w:anchor="ref-renner_point_2015">
        <w:r>
          <w:rPr>
            <w:rStyle w:val="Hyperlink"/>
          </w:rPr>
          <w:t xml:space="preserve">2015</w:t>
        </w:r>
      </w:hyperlink>
      <w:r>
        <w:t xml:space="preserve">). We used the fitted</w:t>
      </w:r>
      <w:r>
        <w:t xml:space="preserve"> </w:t>
      </w:r>
      <w:r>
        <w:t xml:space="preserve">model to predict the number of observations per cell that we then</w:t>
      </w:r>
      <w:r>
        <w:t xml:space="preserve"> </w:t>
      </w:r>
      <w:r>
        <w:t xml:space="preserve">converted into the Bicknell’s Thrush breeding range. The breeding range</w:t>
      </w:r>
      <w:r>
        <w:t xml:space="preserve"> </w:t>
      </w:r>
      <w:r>
        <w:t xml:space="preserve">consists of all cells with a predicted density of observation superior</w:t>
      </w:r>
      <w:r>
        <w:t xml:space="preserve"> </w:t>
      </w:r>
      <w:r>
        <w:t xml:space="preserve">to 1 individual per</w:t>
      </w:r>
      <w:r>
        <w:t xml:space="preserve"> </w:t>
      </w:r>
      <m:oMath>
        <m:r>
          <m:t>k</m:t>
        </m:r>
        <m:sSup>
          <m:e>
            <m:r>
              <m:t>m</m:t>
            </m:r>
          </m:e>
          <m:sup>
            <m:r>
              <m:t>2</m:t>
            </m:r>
          </m:sup>
        </m:sSup>
      </m:oMath>
      <w:r>
        <w:t xml:space="preserve"> </w:t>
      </w:r>
      <w:r>
        <w:t xml:space="preserve">(i.e., 0.00625 observations per cell).</w:t>
      </w:r>
    </w:p>
    <w:p>
      <w:pPr>
        <w:pStyle w:val="BodyText"/>
      </w:pPr>
      <w:r>
        <w:t xml:space="preserve">We assessed model predictive performance using the area under the</w:t>
      </w:r>
      <w:r>
        <w:t xml:space="preserve"> </w:t>
      </w:r>
      <w:r>
        <w:t xml:space="preserve">receiver operating characteristic curve (AUC, Guisan and Thuiller</w:t>
      </w:r>
      <w:r>
        <w:t xml:space="preserve"> </w:t>
      </w:r>
      <w:hyperlink w:anchor="ref-guisan_predicting_2005">
        <w:r>
          <w:rPr>
            <w:rStyle w:val="Hyperlink"/>
          </w:rPr>
          <w:t xml:space="preserve">2005</w:t>
        </w:r>
      </w:hyperlink>
      <w:r>
        <w:t xml:space="preserve">). AUC is</w:t>
      </w:r>
      <w:r>
        <w:t xml:space="preserve"> </w:t>
      </w:r>
      <w:r>
        <w:t xml:space="preserve">essentially a diagnostic tool to measure the quality of prediction of a</w:t>
      </w:r>
      <w:r>
        <w:t xml:space="preserve"> </w:t>
      </w:r>
      <w:r>
        <w:t xml:space="preserve">model. A perfect prediction yields an AUC of 1 while a random prediction</w:t>
      </w:r>
      <w:r>
        <w:t xml:space="preserve"> </w:t>
      </w:r>
      <w:r>
        <w:t xml:space="preserve">yields an AUC of 0.5 (the calculation of the AUC was performed with the</w:t>
      </w:r>
      <w:r>
        <w:t xml:space="preserve"> </w:t>
      </w:r>
      <w:r>
        <w:rPr>
          <w:i/>
        </w:rPr>
        <w:t xml:space="preserve">auc</w:t>
      </w:r>
      <w:r>
        <w:t xml:space="preserve"> </w:t>
      </w:r>
      <w:r>
        <w:t xml:space="preserve">function of the R package</w:t>
      </w:r>
      <w:r>
        <w:t xml:space="preserve"> </w:t>
      </w:r>
      <w:r>
        <w:rPr>
          <w:i/>
        </w:rPr>
        <w:t xml:space="preserve">pROC</w:t>
      </w:r>
      <w:r>
        <w:t xml:space="preserve">, Robin et al.</w:t>
      </w:r>
      <w:r>
        <w:t xml:space="preserve"> </w:t>
      </w:r>
      <w:hyperlink w:anchor="ref-robin_proc_2011">
        <w:r>
          <w:rPr>
            <w:rStyle w:val="Hyperlink"/>
          </w:rPr>
          <w:t xml:space="preserve">2011</w:t>
        </w:r>
      </w:hyperlink>
      <w:r>
        <w:t xml:space="preserve">).</w:t>
      </w:r>
    </w:p>
    <w:bookmarkStart w:id="48" w:name="scenarios"/>
    <w:p>
      <w:pPr>
        <w:pStyle w:val="Heading3"/>
      </w:pPr>
      <w:r>
        <w:t xml:space="preserve">Scenarios</w:t>
      </w:r>
    </w:p>
    <w:bookmarkEnd w:id="48"/>
    <w:p>
      <w:pPr>
        <w:pStyle w:val="FirstParagraph"/>
      </w:pPr>
      <w:r>
        <w:t xml:space="preserve">We projected the Bicknell’s thrush breeding range at a 250 m resolution</w:t>
      </w:r>
      <w:r>
        <w:t xml:space="preserve"> </w:t>
      </w:r>
      <w:r>
        <w:t xml:space="preserve">for two scenarios to contrast the impacts of climate with forest</w:t>
      </w:r>
      <w:r>
        <w:t xml:space="preserve"> </w:t>
      </w:r>
      <w:r>
        <w:t xml:space="preserve">composition dynamics over the 2020-2100 time period. We used the</w:t>
      </w:r>
      <w:r>
        <w:t xml:space="preserve"> </w:t>
      </w:r>
      <w:r>
        <w:t xml:space="preserve">Bicknell’s Thrush model along with calibration conditions for the</w:t>
      </w:r>
      <w:r>
        <w:t xml:space="preserve"> </w:t>
      </w:r>
      <w:r>
        <w:t xml:space="preserve">breeding range projection of 2020. We then used climate and forest</w:t>
      </w:r>
      <w:r>
        <w:t xml:space="preserve"> </w:t>
      </w:r>
      <w:r>
        <w:t xml:space="preserve">composition scenarios for the 2040, 2070, and 2100 projections.</w:t>
      </w:r>
    </w:p>
    <w:p>
      <w:pPr>
        <w:pStyle w:val="BodyText"/>
      </w:pPr>
      <w:r>
        <w:t xml:space="preserve">The Bicknell’s Thrush breeding range distribution was first projected</w:t>
      </w:r>
      <w:r>
        <w:t xml:space="preserve"> </w:t>
      </w:r>
      <w:r>
        <w:t xml:space="preserve">over time under intermediate climate change conditions using the RCP 4.5</w:t>
      </w:r>
      <w:r>
        <w:t xml:space="preserve"> </w:t>
      </w:r>
      <w:r>
        <w:t xml:space="preserve">climate forcing scenario (van Vuuren et al.</w:t>
      </w:r>
      <w:r>
        <w:t xml:space="preserve"> </w:t>
      </w:r>
      <w:hyperlink w:anchor="ref-van_vuuren_representative_2011">
        <w:r>
          <w:rPr>
            <w:rStyle w:val="Hyperlink"/>
          </w:rPr>
          <w:t xml:space="preserve">2011</w:t>
        </w:r>
      </w:hyperlink>
      <w:r>
        <w:t xml:space="preserve">), while</w:t>
      </w:r>
      <w:r>
        <w:t xml:space="preserve"> </w:t>
      </w:r>
      <w:r>
        <w:t xml:space="preserve">keeping forest composition and elevation constant. Future temperature</w:t>
      </w:r>
      <w:r>
        <w:t xml:space="preserve"> </w:t>
      </w:r>
      <w:r>
        <w:t xml:space="preserve">and precipitation projections for 2021-2040, 2041-2070 and 2071-2100</w:t>
      </w:r>
      <w:r>
        <w:t xml:space="preserve"> </w:t>
      </w:r>
      <w:r>
        <w:t xml:space="preserve">periods were obtained for the RCP 4.5 scenario from the Canadian Earth</w:t>
      </w:r>
      <w:r>
        <w:t xml:space="preserve"> </w:t>
      </w:r>
      <w:r>
        <w:t xml:space="preserve">System Model version 2 (CanESM2). Such anthropogenic climate forcing is</w:t>
      </w:r>
      <w:r>
        <w:t xml:space="preserve"> </w:t>
      </w:r>
      <w:r>
        <w:t xml:space="preserve">increasingly considered as one of the most likely scenarios given</w:t>
      </w:r>
      <w:r>
        <w:t xml:space="preserve"> </w:t>
      </w:r>
      <w:r>
        <w:t xml:space="preserve">current and pledged global climate policies (Hausfather and Peters</w:t>
      </w:r>
      <w:r>
        <w:t xml:space="preserve"> </w:t>
      </w:r>
      <w:hyperlink w:anchor="ref-hausfather_emissions_2020">
        <w:r>
          <w:rPr>
            <w:rStyle w:val="Hyperlink"/>
          </w:rPr>
          <w:t xml:space="preserve">2020</w:t>
        </w:r>
      </w:hyperlink>
      <w:r>
        <w:t xml:space="preserve">). Projections</w:t>
      </w:r>
      <w:r>
        <w:t xml:space="preserve"> </w:t>
      </w:r>
      <w:r>
        <w:t xml:space="preserve">were first downscaled to a 10 km resolution using the ANUSPLIN method,</w:t>
      </w:r>
      <w:r>
        <w:t xml:space="preserve"> </w:t>
      </w:r>
      <w:r>
        <w:t xml:space="preserve">and then the BioSIM v11 model was used to interpolate them to a 250 m</w:t>
      </w:r>
      <w:r>
        <w:t xml:space="preserve"> </w:t>
      </w:r>
      <w:r>
        <w:t xml:space="preserve">resolution (R’egni‘ere and St-Amant</w:t>
      </w:r>
      <w:r>
        <w:t xml:space="preserve"> </w:t>
      </w:r>
      <w:hyperlink w:anchor="ref-regniere_stochastic_2007">
        <w:r>
          <w:rPr>
            <w:rStyle w:val="Hyperlink"/>
          </w:rPr>
          <w:t xml:space="preserve">2007</w:t>
        </w:r>
      </w:hyperlink>
      <w:r>
        <w:t xml:space="preserve">, McKenney et al.</w:t>
      </w:r>
      <w:r>
        <w:t xml:space="preserve"> </w:t>
      </w:r>
      <w:hyperlink w:anchor="ref-mckenney_customized_2011">
        <w:r>
          <w:rPr>
            <w:rStyle w:val="Hyperlink"/>
          </w:rPr>
          <w:t xml:space="preserve">2011</w:t>
        </w:r>
      </w:hyperlink>
      <w:r>
        <w:t xml:space="preserve">). BioSIM was used</w:t>
      </w:r>
      <w:r>
        <w:t xml:space="preserve"> </w:t>
      </w:r>
      <w:r>
        <w:t xml:space="preserve">to project daily maximum and minimum temperatures (°C), precipitation</w:t>
      </w:r>
      <w:r>
        <w:t xml:space="preserve"> </w:t>
      </w:r>
      <w:r>
        <w:t xml:space="preserve">(mm) by matching georeferenced sources of weather data (in this case the</w:t>
      </w:r>
      <w:r>
        <w:t xml:space="preserve"> </w:t>
      </w:r>
      <w:r>
        <w:t xml:space="preserve">CanESM2 projections over the 10 km Australian National University Spline</w:t>
      </w:r>
      <w:r>
        <w:t xml:space="preserve"> </w:t>
      </w:r>
      <w:r>
        <w:t xml:space="preserve">grid; Hutchinson et al.</w:t>
      </w:r>
      <w:r>
        <w:t xml:space="preserve"> </w:t>
      </w:r>
      <w:hyperlink w:anchor="ref-hutchinson_development_2009">
        <w:r>
          <w:rPr>
            <w:rStyle w:val="Hyperlink"/>
          </w:rPr>
          <w:t xml:space="preserve">2009</w:t>
        </w:r>
      </w:hyperlink>
      <w:r>
        <w:t xml:space="preserve">) to 15,000</w:t>
      </w:r>
      <w:r>
        <w:t xml:space="preserve"> </w:t>
      </w:r>
      <w:r>
        <w:t xml:space="preserve">random spatially georeferenced points over Quebec, adjusting the weather</w:t>
      </w:r>
      <w:r>
        <w:t xml:space="preserve"> </w:t>
      </w:r>
      <w:r>
        <w:t xml:space="preserve">data for differences in latitude, longitude, and elevation between the</w:t>
      </w:r>
      <w:r>
        <w:t xml:space="preserve"> </w:t>
      </w:r>
      <w:r>
        <w:t xml:space="preserve">source of weather data and each random point using spatial regressions.</w:t>
      </w:r>
      <w:r>
        <w:t xml:space="preserve"> </w:t>
      </w:r>
      <w:r>
        <w:t xml:space="preserve">Universal kriging using elevation as a drifting variable was then used</w:t>
      </w:r>
      <w:r>
        <w:t xml:space="preserve"> </w:t>
      </w:r>
      <w:r>
        <w:t xml:space="preserve">to interpolate climate variables to the 250m grid. As BioSIM</w:t>
      </w:r>
      <w:r>
        <w:t xml:space="preserve"> </w:t>
      </w:r>
      <w:r>
        <w:t xml:space="preserve">stochastically generate future daily weather time series using 30-yrs</w:t>
      </w:r>
      <w:r>
        <w:t xml:space="preserve"> </w:t>
      </w:r>
      <w:r>
        <w:t xml:space="preserve">future climate normals, we averaged results from 30 BioSIM simulations</w:t>
      </w:r>
      <w:r>
        <w:t xml:space="preserve"> </w:t>
      </w:r>
      <w:r>
        <w:t xml:space="preserve">to compute future climate variables that were assigned to the last year</w:t>
      </w:r>
      <w:r>
        <w:t xml:space="preserve"> </w:t>
      </w:r>
      <w:r>
        <w:t xml:space="preserve">of the projection period (e.g., 2021-2040 period became 2040).</w:t>
      </w:r>
    </w:p>
    <w:p>
      <w:pPr>
        <w:pStyle w:val="BodyText"/>
      </w:pPr>
      <w:r>
        <w:t xml:space="preserve">Second, we projected Bicknell’s Thrush breeding range over time by only</w:t>
      </w:r>
      <w:r>
        <w:t xml:space="preserve"> </w:t>
      </w:r>
      <w:r>
        <w:t xml:space="preserve">considering climate-induced changes in forest composition (hereafter</w:t>
      </w:r>
      <w:r>
        <w:t xml:space="preserve"> </w:t>
      </w:r>
      <w:r>
        <w:t xml:space="preserve">forest change) under RCP 4.5, i.e., keeping climate variables and</w:t>
      </w:r>
      <w:r>
        <w:t xml:space="preserve"> </w:t>
      </w:r>
      <w:r>
        <w:t xml:space="preserve">elevation constant in the model. Projections of forest composition for</w:t>
      </w:r>
      <w:r>
        <w:t xml:space="preserve"> </w:t>
      </w:r>
      <w:r>
        <w:t xml:space="preserve">the commercial forests of Québec in 2040, 2070, and 2100 were obtained</w:t>
      </w:r>
      <w:r>
        <w:t xml:space="preserve"> </w:t>
      </w:r>
      <w:r>
        <w:t xml:space="preserve">from Boulanger and Pascual Puigdevall</w:t>
      </w:r>
      <w:r>
        <w:t xml:space="preserve"> </w:t>
      </w:r>
      <w:r>
        <w:t xml:space="preserve">(</w:t>
      </w:r>
      <w:hyperlink w:anchor="ref-boulanger_boreal_2021">
        <w:r>
          <w:rPr>
            <w:rStyle w:val="Hyperlink"/>
          </w:rPr>
          <w:t xml:space="preserve">2021</w:t>
        </w:r>
      </w:hyperlink>
      <w:r>
        <w:t xml:space="preserve">) which were</w:t>
      </w:r>
      <w:r>
        <w:t xml:space="preserve"> </w:t>
      </w:r>
      <w:r>
        <w:t xml:space="preserve">produced using the LANDIS-II forest landscape model (FLM, Scheller et</w:t>
      </w:r>
      <w:r>
        <w:t xml:space="preserve"> </w:t>
      </w:r>
      <w:r>
        <w:t xml:space="preserve">al.</w:t>
      </w:r>
      <w:r>
        <w:t xml:space="preserve"> </w:t>
      </w:r>
      <w:hyperlink w:anchor="ref-scheller_design_2007">
        <w:r>
          <w:rPr>
            <w:rStyle w:val="Hyperlink"/>
          </w:rPr>
          <w:t xml:space="preserve">2007</w:t>
        </w:r>
      </w:hyperlink>
      <w:r>
        <w:t xml:space="preserve">). LANDIS-II is a</w:t>
      </w:r>
      <w:r>
        <w:t xml:space="preserve"> </w:t>
      </w:r>
      <w:r>
        <w:t xml:space="preserve">spatially-explicit, raster-based FLM that accounts for stand (e.g.,</w:t>
      </w:r>
      <w:r>
        <w:t xml:space="preserve"> </w:t>
      </w:r>
      <w:r>
        <w:t xml:space="preserve">interspecies competition, mortality, establishment) and landscape-level</w:t>
      </w:r>
      <w:r>
        <w:t xml:space="preserve"> </w:t>
      </w:r>
      <w:r>
        <w:t xml:space="preserve">processes (e.g., disturbances, seed dispersal, and forest succession).</w:t>
      </w:r>
      <w:r>
        <w:t xml:space="preserve"> </w:t>
      </w:r>
      <w:r>
        <w:t xml:space="preserve">In Boulanger and Pascual Puigdevall</w:t>
      </w:r>
      <w:r>
        <w:t xml:space="preserve"> </w:t>
      </w:r>
      <w:r>
        <w:t xml:space="preserve">(</w:t>
      </w:r>
      <w:hyperlink w:anchor="ref-boulanger_boreal_2021">
        <w:r>
          <w:rPr>
            <w:rStyle w:val="Hyperlink"/>
          </w:rPr>
          <w:t xml:space="preserve">2021</w:t>
        </w:r>
      </w:hyperlink>
      <w:r>
        <w:t xml:space="preserve">), simulations were</w:t>
      </w:r>
      <w:r>
        <w:t xml:space="preserve"> </w:t>
      </w:r>
      <w:r>
        <w:t xml:space="preserve">run at a 10-year time step from the 2020 biomass initial conditions up</w:t>
      </w:r>
      <w:r>
        <w:t xml:space="preserve"> </w:t>
      </w:r>
      <w:r>
        <w:t xml:space="preserve">to 2150 under the RCP 4.5 climate scenario. In these simulations,</w:t>
      </w:r>
      <w:r>
        <w:t xml:space="preserve"> </w:t>
      </w:r>
      <w:r>
        <w:t xml:space="preserve">climate-induced changes in stand dynamics as well as in wildfires were</w:t>
      </w:r>
      <w:r>
        <w:t xml:space="preserve"> </w:t>
      </w:r>
      <w:r>
        <w:t xml:space="preserve">considered. Business-as-usual harvesting as well as spruce budworm</w:t>
      </w:r>
      <w:r>
        <w:t xml:space="preserve"> </w:t>
      </w:r>
      <w:r>
        <w:t xml:space="preserve">outbreaks were also simulated. More details about model</w:t>
      </w:r>
      <w:r>
        <w:t xml:space="preserve"> </w:t>
      </w:r>
      <w:r>
        <w:t xml:space="preserve">parameterization, calibration and results can be found in Boulanger and</w:t>
      </w:r>
      <w:r>
        <w:t xml:space="preserve"> </w:t>
      </w:r>
      <w:r>
        <w:t xml:space="preserve">Pascual Puigdevall</w:t>
      </w:r>
      <w:r>
        <w:t xml:space="preserve"> </w:t>
      </w:r>
      <w:r>
        <w:t xml:space="preserve">(</w:t>
      </w:r>
      <w:hyperlink w:anchor="ref-boulanger_boreal_2021">
        <w:r>
          <w:rPr>
            <w:rStyle w:val="Hyperlink"/>
          </w:rPr>
          <w:t xml:space="preserve">2021</w:t>
        </w:r>
      </w:hyperlink>
      <w:r>
        <w:t xml:space="preserve">).</w:t>
      </w:r>
    </w:p>
    <w:bookmarkStart w:id="49" w:name="analyses"/>
    <w:p>
      <w:pPr>
        <w:pStyle w:val="Heading3"/>
      </w:pPr>
      <w:r>
        <w:t xml:space="preserve">Analyses</w:t>
      </w:r>
    </w:p>
    <w:bookmarkEnd w:id="49"/>
    <w:p>
      <w:pPr>
        <w:pStyle w:val="FirstParagraph"/>
      </w:pPr>
      <w:r>
        <w:t xml:space="preserve">We assessed the impacts of climate-only change and climate-induced</w:t>
      </w:r>
      <w:r>
        <w:t xml:space="preserve"> </w:t>
      </w:r>
      <w:r>
        <w:t xml:space="preserve">forest change on Bicknell’s Thrush persistence by contrasting different</w:t>
      </w:r>
      <w:r>
        <w:t xml:space="preserve"> </w:t>
      </w:r>
      <w:r>
        <w:t xml:space="preserve">aspects of landscape structure from the original and forecasted</w:t>
      </w:r>
      <w:r>
        <w:t xml:space="preserve"> </w:t>
      </w:r>
      <w:r>
        <w:t xml:space="preserve">landscapes. Analyses were run for the southern part of the Québec</w:t>
      </w:r>
      <w:r>
        <w:t xml:space="preserve"> </w:t>
      </w:r>
      <w:r>
        <w:t xml:space="preserve">Province (</w:t>
      </w:r>
      <m:oMath>
        <m:r>
          <m:t>410</m:t>
        </m:r>
        <m:r>
          <m:t>,</m:t>
        </m:r>
        <m:r>
          <m:t>080</m:t>
        </m:r>
        <m:r>
          <m:t>k</m:t>
        </m:r>
        <m:sSup>
          <m:e>
            <m:r>
              <m:t>m</m:t>
            </m:r>
          </m:e>
          <m:sup>
            <m:r>
              <m:t>2</m:t>
            </m:r>
          </m:sup>
        </m:sSup>
      </m:oMath>
      <w:r>
        <w:t xml:space="preserve">). Breeding range may change with respect to</w:t>
      </w:r>
      <w:r>
        <w:t xml:space="preserve"> </w:t>
      </w:r>
      <w:r>
        <w:t xml:space="preserve">habitat occupancy (here, fir-stand occupancy), the spatial structure of</w:t>
      </w:r>
      <w:r>
        <w:t xml:space="preserve"> </w:t>
      </w:r>
      <w:r>
        <w:t xml:space="preserve">suitable patches, or the species’ ability to occupy available suitable</w:t>
      </w:r>
      <w:r>
        <w:t xml:space="preserve"> </w:t>
      </w:r>
      <w:r>
        <w:t xml:space="preserve">patches. Isolating the effect of the different elements helps to</w:t>
      </w:r>
      <w:r>
        <w:t xml:space="preserve"> </w:t>
      </w:r>
      <w:r>
        <w:t xml:space="preserve">identify the drivers and their respective importance on distribution</w:t>
      </w:r>
      <w:r>
        <w:t xml:space="preserve"> </w:t>
      </w:r>
      <w:r>
        <w:t xml:space="preserve">dynamics. We decomposed the landscape spatial structure into three</w:t>
      </w:r>
      <w:r>
        <w:t xml:space="preserve"> </w:t>
      </w:r>
      <w:r>
        <w:t xml:space="preserve">complementary elements: the number of patches, the patch areas, and the</w:t>
      </w:r>
      <w:r>
        <w:t xml:space="preserve"> </w:t>
      </w:r>
      <w:r>
        <w:t xml:space="preserve">inter-patch distances.</w:t>
      </w:r>
    </w:p>
    <w:p>
      <w:pPr>
        <w:pStyle w:val="BodyText"/>
      </w:pPr>
      <w:r>
        <w:t xml:space="preserve">We further compared temporal trends in habitat amount (sensu Fahrig</w:t>
      </w:r>
      <w:r>
        <w:t xml:space="preserve"> </w:t>
      </w:r>
      <w:hyperlink w:anchor="ref-fahrig_rethinking_2013">
        <w:r>
          <w:rPr>
            <w:rStyle w:val="Hyperlink"/>
          </w:rPr>
          <w:t xml:space="preserve">2013</w:t>
        </w:r>
      </w:hyperlink>
      <w:r>
        <w:t xml:space="preserve">) and persistence</w:t>
      </w:r>
      <w:r>
        <w:t xml:space="preserve"> </w:t>
      </w:r>
      <w:r>
        <w:t xml:space="preserve">using metapopulation capacity (Hanski</w:t>
      </w:r>
      <w:r>
        <w:t xml:space="preserve"> </w:t>
      </w:r>
      <w:hyperlink w:anchor="ref-hanski_spatially_2001">
        <w:r>
          <w:rPr>
            <w:rStyle w:val="Hyperlink"/>
          </w:rPr>
          <w:t xml:space="preserve">2001</w:t>
        </w:r>
      </w:hyperlink>
      <w:r>
        <w:t xml:space="preserve">). We contrasted</w:t>
      </w:r>
      <w:r>
        <w:t xml:space="preserve"> </w:t>
      </w:r>
      <w:r>
        <w:t xml:space="preserve">habitat amount, metapopulation capacity without dispersal constraints,</w:t>
      </w:r>
      <w:r>
        <w:t xml:space="preserve"> </w:t>
      </w:r>
      <w:r>
        <w:t xml:space="preserve">and metapopulation capacity with strong dispersal constraints to reveal</w:t>
      </w:r>
      <w:r>
        <w:t xml:space="preserve"> </w:t>
      </w:r>
      <w:r>
        <w:t xml:space="preserve">different aspects of metapopulation response. Habitat amount alone</w:t>
      </w:r>
      <w:r>
        <w:t xml:space="preserve"> </w:t>
      </w:r>
      <w:r>
        <w:t xml:space="preserve">determines occupancy in the absence of metapopulation dynamics (i.e.,</w:t>
      </w:r>
      <w:r>
        <w:t xml:space="preserve"> </w:t>
      </w:r>
      <w:r>
        <w:t xml:space="preserve">the expectation from correlative SDMs); contrasting it with</w:t>
      </w:r>
      <w:r>
        <w:t xml:space="preserve"> </w:t>
      </w:r>
      <w:r>
        <w:t xml:space="preserve">metapopulation capacity under long-distance dispersal reveals the effect</w:t>
      </w:r>
      <w:r>
        <w:t xml:space="preserve"> </w:t>
      </w:r>
      <w:r>
        <w:t xml:space="preserve">of a reduction in patch area on extinction; metapopulation capacity</w:t>
      </w:r>
      <w:r>
        <w:t xml:space="preserve"> </w:t>
      </w:r>
      <w:r>
        <w:t xml:space="preserve">under short dispersal distance reveals the combined effects of reduction</w:t>
      </w:r>
      <w:r>
        <w:t xml:space="preserve"> </w:t>
      </w:r>
      <w:r>
        <w:t xml:space="preserve">in patch area and change in landscape connectivity. Without sufficient</w:t>
      </w:r>
      <w:r>
        <w:t xml:space="preserve"> </w:t>
      </w:r>
      <w:r>
        <w:t xml:space="preserve">knowledge of the Bicknell’s Thrush dispersal kernel, we therefore</w:t>
      </w:r>
      <w:r>
        <w:t xml:space="preserve"> </w:t>
      </w:r>
      <w:r>
        <w:t xml:space="preserve">compared metapopulation capacity for extreme scenarios of dispersal</w:t>
      </w:r>
      <w:r>
        <w:t xml:space="preserve"> </w:t>
      </w:r>
      <w:r>
        <w:t xml:space="preserve">within the range of plausible kernels. We thus evaluated metapopulation</w:t>
      </w:r>
      <w:r>
        <w:t xml:space="preserve"> </w:t>
      </w:r>
      <w:r>
        <w:t xml:space="preserve">capacity for high dispersal limitations (average dispersal distance of 1</w:t>
      </w:r>
      <w:r>
        <w:t xml:space="preserve"> </w:t>
      </w:r>
      <w:r>
        <w:t xml:space="preserve">km) and for long average dispersal distance (average dispersal distance</w:t>
      </w:r>
      <w:r>
        <w:t xml:space="preserve"> </w:t>
      </w:r>
      <w:r>
        <w:t xml:space="preserve">of 500 km).</w:t>
      </w:r>
    </w:p>
    <w:bookmarkStart w:id="50" w:name="Xd4e7f84fd198787472ffe1fcb91d0bc4bd7e803"/>
    <w:p>
      <w:pPr>
        <w:pStyle w:val="Heading2"/>
      </w:pPr>
      <w:r>
        <w:t xml:space="preserve">Results: Connectivity in addition to habitat amount define</w:t>
      </w:r>
      <w:r>
        <w:t xml:space="preserve"> </w:t>
      </w:r>
      <w:r>
        <w:t xml:space="preserve">realized</w:t>
      </w:r>
      <w:r>
        <w:t xml:space="preserve"> </w:t>
      </w:r>
      <w:r>
        <w:t xml:space="preserve">range</w:t>
      </w:r>
    </w:p>
    <w:bookmarkEnd w:id="50"/>
    <w:p>
      <w:pPr>
        <w:pStyle w:val="FirstParagraph"/>
      </w:pPr>
      <w:r>
        <w:t xml:space="preserve">The model had high performance and accurate breeding range prediction</w:t>
      </w:r>
      <w:r>
        <w:t xml:space="preserve"> </w:t>
      </w:r>
      <w:r>
        <w:t xml:space="preserve">with an AUC of 0.95. Proportional fir biomass (slope ± standard error,</w:t>
      </w:r>
      <w:r>
        <w:t xml:space="preserve"> </w:t>
      </w:r>
      <m:oMath>
        <m:sSub>
          <m:e>
            <m:r>
              <m:t>β</m:t>
            </m:r>
          </m:e>
          <m:sub>
            <m:r>
              <m:t>6</m:t>
            </m:r>
          </m:sub>
        </m:sSub>
        <m:r>
          <m:t>=</m:t>
        </m:r>
        <m:r>
          <m:t>3.39</m:t>
        </m:r>
        <m:r>
          <m:t>±</m:t>
        </m:r>
        <m:r>
          <m:t>0.46</m:t>
        </m:r>
      </m:oMath>
      <w:r>
        <w:t xml:space="preserve">) and mean annual temperature</w:t>
      </w:r>
      <w:r>
        <w:t xml:space="preserve"> </w:t>
      </w:r>
      <w:r>
        <w:t xml:space="preserve">(</w:t>
      </w:r>
      <m:oMath>
        <m:sSub>
          <m:e>
            <m:r>
              <m:t>β</m:t>
            </m:r>
          </m:e>
          <m:sub>
            <m:r>
              <m:t>1</m:t>
            </m:r>
          </m:sub>
        </m:sSub>
        <m:r>
          <m:t>=</m:t>
        </m:r>
        <m:r>
          <m:t>1.56</m:t>
        </m:r>
        <m:r>
          <m:t>±</m:t>
        </m:r>
        <m:r>
          <m:t>0.27</m:t>
        </m:r>
      </m:oMath>
      <w:r>
        <w:t xml:space="preserve">) are best predictors of the breeding range.</w:t>
      </w:r>
      <w:r>
        <w:t xml:space="preserve"> </w:t>
      </w:r>
      <w:r>
        <w:t xml:space="preserve">Furthermore, the quadratic temperature term is significantly negative</w:t>
      </w:r>
      <w:r>
        <w:t xml:space="preserve"> </w:t>
      </w:r>
      <w:r>
        <w:t xml:space="preserve">(</w:t>
      </w:r>
      <m:oMath>
        <m:sSub>
          <m:e>
            <m:r>
              <m:t>β</m:t>
            </m:r>
          </m:e>
          <m:sub>
            <m:r>
              <m:t>2</m:t>
            </m:r>
          </m:sub>
        </m:sSub>
        <m:r>
          <m:t>=</m:t>
        </m:r>
        <m:r>
          <m:t>−</m:t>
        </m:r>
        <m:r>
          <m:t>0.28</m:t>
        </m:r>
        <m:r>
          <m:t>±</m:t>
        </m:r>
        <m:r>
          <m:t>0.025</m:t>
        </m:r>
      </m:oMath>
      <w:r>
        <w:t xml:space="preserve">) such that the model estimates maximum</w:t>
      </w:r>
      <w:r>
        <w:t xml:space="preserve"> </w:t>
      </w:r>
      <w:r>
        <w:t xml:space="preserve">occupancy at 2.7 Celsius (mean annual temperature). Total annual</w:t>
      </w:r>
      <w:r>
        <w:t xml:space="preserve"> </w:t>
      </w:r>
      <w:r>
        <w:t xml:space="preserve">precipitation (</w:t>
      </w:r>
      <m:oMath>
        <m:sSub>
          <m:e>
            <m:r>
              <m:t>β</m:t>
            </m:r>
          </m:e>
          <m:sub>
            <m:r>
              <m:t>3</m:t>
            </m:r>
          </m:sub>
        </m:sSub>
        <m:r>
          <m:t>=</m:t>
        </m:r>
        <m:r>
          <m:t>−</m:t>
        </m:r>
        <m:r>
          <m:t>0.0064</m:t>
        </m:r>
        <m:r>
          <m:t>±</m:t>
        </m:r>
        <m:r>
          <m:t>0.00024</m:t>
        </m:r>
      </m:oMath>
      <w:r>
        <w:t xml:space="preserve">) and elevation</w:t>
      </w:r>
      <w:r>
        <w:t xml:space="preserve"> </w:t>
      </w:r>
      <w:r>
        <w:t xml:space="preserve">(</w:t>
      </w:r>
      <m:oMath>
        <m:sSub>
          <m:e>
            <m:r>
              <m:t>β</m:t>
            </m:r>
          </m:e>
          <m:sub>
            <m:r>
              <m:t>4</m:t>
            </m:r>
          </m:sub>
        </m:sSub>
        <m:r>
          <m:t>=</m:t>
        </m:r>
        <m:r>
          <m:t>0.018</m:t>
        </m:r>
        <m:r>
          <m:t>±</m:t>
        </m:r>
        <m:r>
          <m:t>0.00029</m:t>
        </m:r>
      </m:oMath>
      <w:r>
        <w:t xml:space="preserve">) also have significant effects on</w:t>
      </w:r>
      <w:r>
        <w:t xml:space="preserve"> </w:t>
      </w:r>
      <w:r>
        <w:t xml:space="preserve">occupancy. Fir biomass was not a significant predictor</w:t>
      </w:r>
      <w:r>
        <w:t xml:space="preserve"> </w:t>
      </w:r>
      <w:r>
        <w:t xml:space="preserve">(</w:t>
      </w:r>
      <m:oMath>
        <m:sSub>
          <m:e>
            <m:r>
              <m:t>β</m:t>
            </m:r>
          </m:e>
          <m:sub>
            <m:r>
              <m:t>5</m:t>
            </m:r>
          </m:sub>
        </m:sSub>
        <m:r>
          <m:t>=</m:t>
        </m:r>
        <m:r>
          <m:t>0.0082</m:t>
        </m:r>
        <m:r>
          <m:t>±</m:t>
        </m:r>
        <m:r>
          <m:t>0.0081</m:t>
        </m:r>
      </m:oMath>
      <w:r>
        <w:t xml:space="preserve">) but its interactions with fir relative</w:t>
      </w:r>
      <w:r>
        <w:t xml:space="preserve"> </w:t>
      </w:r>
      <w:r>
        <w:t xml:space="preserve">abundance (</w:t>
      </w:r>
      <m:oMath>
        <m:sSub>
          <m:e>
            <m:r>
              <m:t>β</m:t>
            </m:r>
          </m:e>
          <m:sub>
            <m:r>
              <m:t>7</m:t>
            </m:r>
          </m:sub>
        </m:sSub>
        <m:r>
          <m:t>=</m:t>
        </m:r>
        <m:r>
          <m:t>−</m:t>
        </m:r>
        <m:r>
          <m:t>0.048</m:t>
        </m:r>
        <m:r>
          <m:t>±</m:t>
        </m:r>
        <m:r>
          <m:t>0.012</m:t>
        </m:r>
      </m:oMath>
      <w:r>
        <w:t xml:space="preserve">) and proportional fir biomass</w:t>
      </w:r>
      <w:r>
        <w:t xml:space="preserve"> </w:t>
      </w:r>
      <w:r>
        <w:t xml:space="preserve">were such that stands of dense fir forest are associated with greater</w:t>
      </w:r>
      <w:r>
        <w:t xml:space="preserve"> </w:t>
      </w:r>
      <w:r>
        <w:t xml:space="preserve">occupancy. The model shows a decrease in Bicknell’s thrush predicted</w:t>
      </w:r>
      <w:r>
        <w:t xml:space="preserve"> </w:t>
      </w:r>
      <w:r>
        <w:t xml:space="preserve">occupancy at low elevations of the southern edge and of the northern</w:t>
      </w:r>
      <w:r>
        <w:t xml:space="preserve"> </w:t>
      </w:r>
      <w:r>
        <w:t xml:space="preserve">edge of its distribution area (Figure</w:t>
      </w:r>
      <w:r>
        <w:t xml:space="preserve"> </w:t>
      </w:r>
      <w:hyperlink w:anchor="fig:map_BITH">
        <w:r>
          <w:rPr>
            <w:rStyle w:val="Hyperlink"/>
          </w:rPr>
          <w:t xml:space="preserve">6</w:t>
        </w:r>
      </w:hyperlink>
      <w:r>
        <w:t xml:space="preserve">).</w:t>
      </w:r>
    </w:p>
    <w:bookmarkStart w:id="53" w:name="fig:map_BITH"/>
    <w:p>
      <w:pPr>
        <w:pStyle w:val="CaptionedFigure"/>
      </w:pPr>
      <w:bookmarkStart w:id="52" w:name="fig:map_BITH"/>
      <w:r>
        <w:drawing>
          <wp:inline>
            <wp:extent cx="5943600" cy="7180481"/>
            <wp:effectExtent b="0" l="0" r="0" t="0"/>
            <wp:docPr descr="Projected Bicknell’s thrush breeding range between 2020 and 2100 for climate-only and climate-induced forest change scenarios. Projected breeding ranges are presented as colonized, persistent, and extinct patches with 2020 initial distribution as reference. Top two panels show Bicknell’s Thrush’s distribution at initial conditions (2020) and therefore are identical. Lower panels show projections for 2040, 2070, and 2100." title="" id="1" name="Picture"/>
            <a:graphic>
              <a:graphicData uri="http://schemas.openxmlformats.org/drawingml/2006/picture">
                <pic:pic>
                  <pic:nvPicPr>
                    <pic:cNvPr descr="./manuscript/img/map_BITH.png" id="0" name="Picture"/>
                    <pic:cNvPicPr>
                      <a:picLocks noChangeArrowheads="1" noChangeAspect="1"/>
                    </pic:cNvPicPr>
                  </pic:nvPicPr>
                  <pic:blipFill>
                    <a:blip r:embed="rId51"/>
                    <a:stretch>
                      <a:fillRect/>
                    </a:stretch>
                  </pic:blipFill>
                  <pic:spPr bwMode="auto">
                    <a:xfrm>
                      <a:off x="0" y="0"/>
                      <a:ext cx="5943600" cy="7180481"/>
                    </a:xfrm>
                    <a:prstGeom prst="rect">
                      <a:avLst/>
                    </a:prstGeom>
                    <a:noFill/>
                    <a:ln w="9525">
                      <a:noFill/>
                      <a:headEnd/>
                      <a:tailEnd/>
                    </a:ln>
                  </pic:spPr>
                </pic:pic>
              </a:graphicData>
            </a:graphic>
          </wp:inline>
        </w:drawing>
      </w:r>
      <w:bookmarkEnd w:id="52"/>
    </w:p>
    <w:p>
      <w:pPr>
        <w:pStyle w:val="ImageCaption"/>
      </w:pPr>
      <w:r>
        <w:t xml:space="preserve">Projected Bicknell’s thrush breeding range between 2020 and</w:t>
      </w:r>
      <w:r>
        <w:t xml:space="preserve"> </w:t>
      </w:r>
      <w:r>
        <w:t xml:space="preserve">2100 for climate-only and climate-induced forest change scenarios.</w:t>
      </w:r>
      <w:r>
        <w:t xml:space="preserve"> </w:t>
      </w:r>
      <w:r>
        <w:t xml:space="preserve">Projected breeding ranges are presented as colonized, persistent, and</w:t>
      </w:r>
      <w:r>
        <w:t xml:space="preserve"> </w:t>
      </w:r>
      <w:r>
        <w:t xml:space="preserve">extinct patches with 2020 initial distribution as reference. Top two</w:t>
      </w:r>
      <w:r>
        <w:t xml:space="preserve"> </w:t>
      </w:r>
      <w:r>
        <w:t xml:space="preserve">panels show Bicknell’s Thrush’s distribution at initial conditions</w:t>
      </w:r>
      <w:r>
        <w:t xml:space="preserve"> </w:t>
      </w:r>
      <w:r>
        <w:t xml:space="preserve">(2020) and therefore are identical. Lower panels show projections for</w:t>
      </w:r>
      <w:r>
        <w:t xml:space="preserve"> </w:t>
      </w:r>
      <w:r>
        <w:t xml:space="preserve">2040, 2070, and 2100.</w:t>
      </w:r>
    </w:p>
    <w:bookmarkEnd w:id="53"/>
    <w:bookmarkStart w:id="54" w:name="climate-and-habitat-mismatch"/>
    <w:p>
      <w:pPr>
        <w:pStyle w:val="Heading3"/>
      </w:pPr>
      <w:r>
        <w:t xml:space="preserve">Climate and habitat</w:t>
      </w:r>
      <w:r>
        <w:t xml:space="preserve"> </w:t>
      </w:r>
      <w:r>
        <w:t xml:space="preserve">mismatch</w:t>
      </w:r>
    </w:p>
    <w:bookmarkEnd w:id="54"/>
    <w:p>
      <w:pPr>
        <w:pStyle w:val="FirstParagraph"/>
      </w:pPr>
      <w:r>
        <w:t xml:space="preserve">Our model projected varying effects of climate change on Bicknell’s</w:t>
      </w:r>
      <w:r>
        <w:t xml:space="preserve"> </w:t>
      </w:r>
      <w:r>
        <w:t xml:space="preserve">Thrush breeding range within the study region (Figure</w:t>
      </w:r>
      <w:r>
        <w:t xml:space="preserve"> </w:t>
      </w:r>
      <w:hyperlink w:anchor="fig:map_BITH">
        <w:r>
          <w:rPr>
            <w:rStyle w:val="Hyperlink"/>
          </w:rPr>
          <w:t xml:space="preserve">6</w:t>
        </w:r>
      </w:hyperlink>
      <w:r>
        <w:t xml:space="preserve">). The magnitude of change differed between</w:t>
      </w:r>
      <w:r>
        <w:t xml:space="preserve"> </w:t>
      </w:r>
      <w:r>
        <w:t xml:space="preserve">climate-only and climate-induced forest change scenarios. Shifts at the</w:t>
      </w:r>
      <w:r>
        <w:t xml:space="preserve"> </w:t>
      </w:r>
      <w:r>
        <w:t xml:space="preserve">range edges were more pronounced than within the range under the</w:t>
      </w:r>
      <w:r>
        <w:t xml:space="preserve"> </w:t>
      </w:r>
      <w:r>
        <w:t xml:space="preserve">climate-only scenario, with contraction at the southern edge and</w:t>
      </w:r>
      <w:r>
        <w:t xml:space="preserve"> </w:t>
      </w:r>
      <w:r>
        <w:t xml:space="preserve">expansion at the northern edge. Under the climate-only scenario,</w:t>
      </w:r>
      <w:r>
        <w:t xml:space="preserve"> </w:t>
      </w:r>
      <w:r>
        <w:t xml:space="preserve">extensive expansion was projected as soon as 2040 at high elevation</w:t>
      </w:r>
      <w:r>
        <w:t xml:space="preserve"> </w:t>
      </w:r>
      <w:r>
        <w:t xml:space="preserve">(&gt;600 m) and rapidly warming (up to 3 °C between 2020 and</w:t>
      </w:r>
      <w:r>
        <w:t xml:space="preserve"> </w:t>
      </w:r>
      <w:r>
        <w:t xml:space="preserve">2040) regions. Multiple northward patches became momentarily suitable</w:t>
      </w:r>
      <w:r>
        <w:t xml:space="preserve"> </w:t>
      </w:r>
      <w:r>
        <w:t xml:space="preserve">with climate warming at moderate elevation areas (500 to 600 m) because</w:t>
      </w:r>
      <w:r>
        <w:t xml:space="preserve"> </w:t>
      </w:r>
      <w:r>
        <w:t xml:space="preserve">of the narrow range of suitable climatic conditions at these lower</w:t>
      </w:r>
      <w:r>
        <w:t xml:space="preserve"> </w:t>
      </w:r>
      <w:r>
        <w:t xml:space="preserve">elevations. Important contraction was projected at the southern range</w:t>
      </w:r>
      <w:r>
        <w:t xml:space="preserve"> </w:t>
      </w:r>
      <w:r>
        <w:t xml:space="preserve">edge with high elevation mountain tops insufficient to cope with</w:t>
      </w:r>
      <w:r>
        <w:t xml:space="preserve"> </w:t>
      </w:r>
      <w:r>
        <w:t xml:space="preserve">temperature increase. As opposed, changes in forest composition are</w:t>
      </w:r>
      <w:r>
        <w:t xml:space="preserve"> </w:t>
      </w:r>
      <w:r>
        <w:t xml:space="preserve">limited due to the slow demography and the limited dispersal of trees</w:t>
      </w:r>
      <w:r>
        <w:t xml:space="preserve"> </w:t>
      </w:r>
      <w:r>
        <w:t xml:space="preserve">(Vissault et al.</w:t>
      </w:r>
      <w:r>
        <w:t xml:space="preserve"> </w:t>
      </w:r>
      <w:hyperlink w:anchor="ref-vissault_slow_2020">
        <w:r>
          <w:rPr>
            <w:rStyle w:val="Hyperlink"/>
          </w:rPr>
          <w:t xml:space="preserve">2020</w:t>
        </w:r>
      </w:hyperlink>
      <w:r>
        <w:t xml:space="preserve">). As a</w:t>
      </w:r>
      <w:r>
        <w:t xml:space="preserve"> </w:t>
      </w:r>
      <w:r>
        <w:t xml:space="preserve">result, the projected changes to the breeding range under the forest</w:t>
      </w:r>
      <w:r>
        <w:t xml:space="preserve"> </w:t>
      </w:r>
      <w:r>
        <w:t xml:space="preserve">change scenario were much more limited (Figure</w:t>
      </w:r>
      <w:r>
        <w:t xml:space="preserve"> </w:t>
      </w:r>
      <w:hyperlink w:anchor="fig:map_BITH">
        <w:r>
          <w:rPr>
            <w:rStyle w:val="Hyperlink"/>
          </w:rPr>
          <w:t xml:space="preserve">6</w:t>
        </w:r>
      </w:hyperlink>
      <w:r>
        <w:t xml:space="preserve">).</w:t>
      </w:r>
    </w:p>
    <w:bookmarkStart w:id="55" w:name="changes-in-the-spatial-structure"/>
    <w:p>
      <w:pPr>
        <w:pStyle w:val="Heading3"/>
      </w:pPr>
      <w:r>
        <w:t xml:space="preserve">Changes in the spatial</w:t>
      </w:r>
      <w:r>
        <w:t xml:space="preserve"> </w:t>
      </w:r>
      <w:r>
        <w:t xml:space="preserve">structure</w:t>
      </w:r>
    </w:p>
    <w:bookmarkEnd w:id="55"/>
    <w:bookmarkStart w:id="58" w:name="fig:conf"/>
    <w:p>
      <w:pPr>
        <w:pStyle w:val="CaptionedFigure"/>
      </w:pPr>
      <w:bookmarkStart w:id="57" w:name="fig:conf"/>
      <w:r>
        <w:drawing>
          <wp:inline>
            <wp:extent cx="5943600" cy="1782324"/>
            <wp:effectExtent b="0" l="0" r="0" t="0"/>
            <wp:docPr descr="Change in the spatial structure of the Bicknell’s Thrush breeding range between 2020 and 2100 under the climate-only (blue line) and the climate-induced changes in forest composition (orange line). The left panel presents the number of patches within the projected breeding range, the centre panel the median area of these patches, and the right panel the median distance between these patches." title="" id="1" name="Picture"/>
            <a:graphic>
              <a:graphicData uri="http://schemas.openxmlformats.org/drawingml/2006/picture">
                <pic:pic>
                  <pic:nvPicPr>
                    <pic:cNvPr descr="./manuscript/img/spatial_configuration.png" id="0" name="Picture"/>
                    <pic:cNvPicPr>
                      <a:picLocks noChangeArrowheads="1" noChangeAspect="1"/>
                    </pic:cNvPicPr>
                  </pic:nvPicPr>
                  <pic:blipFill>
                    <a:blip r:embed="rId56"/>
                    <a:stretch>
                      <a:fillRect/>
                    </a:stretch>
                  </pic:blipFill>
                  <pic:spPr bwMode="auto">
                    <a:xfrm>
                      <a:off x="0" y="0"/>
                      <a:ext cx="5943600" cy="1782324"/>
                    </a:xfrm>
                    <a:prstGeom prst="rect">
                      <a:avLst/>
                    </a:prstGeom>
                    <a:noFill/>
                    <a:ln w="9525">
                      <a:noFill/>
                      <a:headEnd/>
                      <a:tailEnd/>
                    </a:ln>
                  </pic:spPr>
                </pic:pic>
              </a:graphicData>
            </a:graphic>
          </wp:inline>
        </w:drawing>
      </w:r>
      <w:bookmarkEnd w:id="57"/>
    </w:p>
    <w:p>
      <w:pPr>
        <w:pStyle w:val="ImageCaption"/>
      </w:pPr>
      <w:r>
        <w:t xml:space="preserve">Change in the spatial structure of the Bicknell’s Thrush</w:t>
      </w:r>
      <w:r>
        <w:t xml:space="preserve"> </w:t>
      </w:r>
      <w:r>
        <w:t xml:space="preserve">breeding range between 2020 and 2100 under the climate-only (blue line)</w:t>
      </w:r>
      <w:r>
        <w:t xml:space="preserve"> </w:t>
      </w:r>
      <w:r>
        <w:t xml:space="preserve">and the climate-induced changes in forest composition (orange line). The</w:t>
      </w:r>
      <w:r>
        <w:t xml:space="preserve"> </w:t>
      </w:r>
      <w:r>
        <w:t xml:space="preserve">left panel presents the number of patches within the projected breeding</w:t>
      </w:r>
      <w:r>
        <w:t xml:space="preserve"> </w:t>
      </w:r>
      <w:r>
        <w:t xml:space="preserve">range, the centre panel the median area of these patches, and the right</w:t>
      </w:r>
      <w:r>
        <w:t xml:space="preserve"> </w:t>
      </w:r>
      <w:r>
        <w:t xml:space="preserve">panel the median distance between these patches.</w:t>
      </w:r>
    </w:p>
    <w:bookmarkEnd w:id="58"/>
    <w:p>
      <w:pPr>
        <w:pStyle w:val="BodyText"/>
      </w:pPr>
      <w:r>
        <w:t xml:space="preserve">Projections show that climate and forest changes have major consequences</w:t>
      </w:r>
      <w:r>
        <w:t xml:space="preserve"> </w:t>
      </w:r>
      <w:r>
        <w:t xml:space="preserve">on the spatial structure of suitable patches (Figure</w:t>
      </w:r>
      <w:r>
        <w:t xml:space="preserve"> </w:t>
      </w:r>
      <w:hyperlink w:anchor="fig:conf">
        <w:r>
          <w:rPr>
            <w:rStyle w:val="Hyperlink"/>
          </w:rPr>
          <w:t xml:space="preserve">7</w:t>
        </w:r>
      </w:hyperlink>
      <w:r>
        <w:t xml:space="preserve">).</w:t>
      </w:r>
      <w:r>
        <w:t xml:space="preserve"> </w:t>
      </w:r>
      <w:r>
        <w:t xml:space="preserve">The number of patches within the breeding range in the climate-only</w:t>
      </w:r>
      <w:r>
        <w:t xml:space="preserve"> </w:t>
      </w:r>
      <w:r>
        <w:t xml:space="preserve">scenario supports the initial observation of range expansion followed by</w:t>
      </w:r>
      <w:r>
        <w:t xml:space="preserve"> </w:t>
      </w:r>
      <w:r>
        <w:t xml:space="preserve">a rapid contraction with a peak in number of patches in 2040, while the</w:t>
      </w:r>
      <w:r>
        <w:t xml:space="preserve"> </w:t>
      </w:r>
      <w:r>
        <w:t xml:space="preserve">climate-induced forest change scenario shows a decline in number of</w:t>
      </w:r>
      <w:r>
        <w:t xml:space="preserve"> </w:t>
      </w:r>
      <w:r>
        <w:t xml:space="preserve">patches (Figure</w:t>
      </w:r>
      <w:r>
        <w:t xml:space="preserve"> </w:t>
      </w:r>
      <w:hyperlink w:anchor="fig:conf">
        <w:r>
          <w:rPr>
            <w:rStyle w:val="Hyperlink"/>
          </w:rPr>
          <w:t xml:space="preserve">7</w:t>
        </w:r>
      </w:hyperlink>
      <w:r>
        <w:t xml:space="preserve">, left panel). Median patch area for both</w:t>
      </w:r>
      <w:r>
        <w:t xml:space="preserve"> </w:t>
      </w:r>
      <w:r>
        <w:t xml:space="preserve">scenarios varied between 0.125 and 0.312</w:t>
      </w:r>
      <w:r>
        <w:t xml:space="preserve"> </w:t>
      </w:r>
      <m:oMath>
        <m:r>
          <m:t>k</m:t>
        </m:r>
        <m:sSup>
          <m:e>
            <m:r>
              <m:t>m</m:t>
            </m:r>
          </m:e>
          <m:sup>
            <m:r>
              <m:t>2</m:t>
            </m:r>
          </m:sup>
        </m:sSup>
      </m:oMath>
      <w:r>
        <w:t xml:space="preserve"> </w:t>
      </w:r>
      <w:r>
        <w:t xml:space="preserve">(minimum and maximum</w:t>
      </w:r>
      <w:r>
        <w:t xml:space="preserve"> </w:t>
      </w:r>
      <w:r>
        <w:t xml:space="preserve">patch area = 0.0625 and 7805</w:t>
      </w:r>
      <w:r>
        <w:t xml:space="preserve"> </w:t>
      </w:r>
      <m:oMath>
        <m:r>
          <m:t>k</m:t>
        </m:r>
        <m:sSup>
          <m:e>
            <m:r>
              <m:t>m</m:t>
            </m:r>
          </m:e>
          <m:sup>
            <m:r>
              <m:t>2</m:t>
            </m:r>
          </m:sup>
        </m:sSup>
      </m:oMath>
      <w:r>
        <w:t xml:space="preserve"> </w:t>
      </w:r>
      <w:r>
        <w:t xml:space="preserve">respectively) and indicates a</w:t>
      </w:r>
      <w:r>
        <w:t xml:space="preserve"> </w:t>
      </w:r>
      <w:r>
        <w:t xml:space="preserve">skewed distribution with a dominance of small patches and few very large</w:t>
      </w:r>
      <w:r>
        <w:t xml:space="preserve"> </w:t>
      </w:r>
      <w:r>
        <w:t xml:space="preserve">ones (Figure</w:t>
      </w:r>
      <w:r>
        <w:t xml:space="preserve"> </w:t>
      </w:r>
      <w:hyperlink w:anchor="fig:conf">
        <w:r>
          <w:rPr>
            <w:rStyle w:val="Hyperlink"/>
          </w:rPr>
          <w:t xml:space="preserve">7</w:t>
        </w:r>
      </w:hyperlink>
      <w:r>
        <w:t xml:space="preserve">, centre panel). On the other hand, the</w:t>
      </w:r>
      <w:r>
        <w:t xml:space="preserve"> </w:t>
      </w:r>
      <w:r>
        <w:t xml:space="preserve">median inter-patch distance varied between 218 and 280 km (minimum and</w:t>
      </w:r>
      <w:r>
        <w:t xml:space="preserve"> </w:t>
      </w:r>
      <w:r>
        <w:t xml:space="preserve">maximum inter-patch distance = 0.25 and 809 km respectively) and shows a</w:t>
      </w:r>
      <w:r>
        <w:t xml:space="preserve"> </w:t>
      </w:r>
      <w:r>
        <w:t xml:space="preserve">more balanced distribution with the landscape composed of distanced</w:t>
      </w:r>
      <w:r>
        <w:t xml:space="preserve"> </w:t>
      </w:r>
      <w:r>
        <w:t xml:space="preserve">groups of regionally close patches (Figure</w:t>
      </w:r>
      <w:r>
        <w:t xml:space="preserve"> </w:t>
      </w:r>
      <w:hyperlink w:anchor="fig:conf">
        <w:r>
          <w:rPr>
            <w:rStyle w:val="Hyperlink"/>
          </w:rPr>
          <w:t xml:space="preserve">7</w:t>
        </w:r>
      </w:hyperlink>
      <w:r>
        <w:t xml:space="preserve">, right panel).</w:t>
      </w:r>
      <w:r>
        <w:t xml:space="preserve"> </w:t>
      </w:r>
      <w:r>
        <w:t xml:space="preserve">Although the distribution of patch areas in the climate-only scenario</w:t>
      </w:r>
      <w:r>
        <w:t xml:space="preserve"> </w:t>
      </w:r>
      <w:r>
        <w:t xml:space="preserve">appears to remain constant through time, important decreases in the</w:t>
      </w:r>
      <w:r>
        <w:t xml:space="preserve"> </w:t>
      </w:r>
      <w:r>
        <w:t xml:space="preserve">interpatch distances indicate the loss of small, isolated patches, the</w:t>
      </w:r>
      <w:r>
        <w:t xml:space="preserve"> </w:t>
      </w:r>
      <w:r>
        <w:t xml:space="preserve">addition of geographically close patches, and the fragmentation of large</w:t>
      </w:r>
      <w:r>
        <w:t xml:space="preserve"> </w:t>
      </w:r>
      <w:r>
        <w:t xml:space="preserve">patches (Figure</w:t>
      </w:r>
      <w:r>
        <w:t xml:space="preserve"> </w:t>
      </w:r>
      <w:hyperlink w:anchor="fig:conf">
        <w:r>
          <w:rPr>
            <w:rStyle w:val="Hyperlink"/>
          </w:rPr>
          <w:t xml:space="preserve">7</w:t>
        </w:r>
      </w:hyperlink>
      <w:r>
        <w:t xml:space="preserve">, centre and right panels). Despite the</w:t>
      </w:r>
      <w:r>
        <w:t xml:space="preserve"> </w:t>
      </w:r>
      <w:r>
        <w:t xml:space="preserve">apparent stability of the breeding range under the climate-induced</w:t>
      </w:r>
      <w:r>
        <w:t xml:space="preserve"> </w:t>
      </w:r>
      <w:r>
        <w:t xml:space="preserve">forest change scenario, important changes in its spatial structure were</w:t>
      </w:r>
      <w:r>
        <w:t xml:space="preserve"> </w:t>
      </w:r>
      <w:r>
        <w:t xml:space="preserve">observed. We observed a rapid decline in the number of patches and, in</w:t>
      </w:r>
      <w:r>
        <w:t xml:space="preserve"> </w:t>
      </w:r>
      <w:r>
        <w:t xml:space="preserve">contrast to changes under the climate-only scenario, the median patch</w:t>
      </w:r>
      <w:r>
        <w:t xml:space="preserve"> </w:t>
      </w:r>
      <w:r>
        <w:t xml:space="preserve">area constantly increased between 2020 and 2100, and the inter-patch</w:t>
      </w:r>
      <w:r>
        <w:t xml:space="preserve"> </w:t>
      </w:r>
      <w:r>
        <w:t xml:space="preserve">distance marginally increased (Figure</w:t>
      </w:r>
      <w:r>
        <w:t xml:space="preserve"> </w:t>
      </w:r>
      <w:hyperlink w:anchor="fig:conf">
        <w:r>
          <w:rPr>
            <w:rStyle w:val="Hyperlink"/>
          </w:rPr>
          <w:t xml:space="preserve">7</w:t>
        </w:r>
      </w:hyperlink>
      <w:r>
        <w:t xml:space="preserve">, centre and right</w:t>
      </w:r>
      <w:r>
        <w:t xml:space="preserve"> </w:t>
      </w:r>
      <w:r>
        <w:t xml:space="preserve">panels). Results indicate that close patches became connected to form</w:t>
      </w:r>
      <w:r>
        <w:t xml:space="preserve"> </w:t>
      </w:r>
      <w:r>
        <w:t xml:space="preserve">fewer, but larger patches in addition to the loss of small, isolated</w:t>
      </w:r>
      <w:r>
        <w:t xml:space="preserve"> </w:t>
      </w:r>
      <w:r>
        <w:t xml:space="preserve">patches.</w:t>
      </w:r>
    </w:p>
    <w:bookmarkStart w:id="59" w:name="persistence"/>
    <w:p>
      <w:pPr>
        <w:pStyle w:val="Heading3"/>
      </w:pPr>
      <w:r>
        <w:t xml:space="preserve">Persistence</w:t>
      </w:r>
    </w:p>
    <w:bookmarkEnd w:id="59"/>
    <w:bookmarkStart w:id="62" w:name="fig:persistence"/>
    <w:p>
      <w:pPr>
        <w:pStyle w:val="CaptionedFigure"/>
      </w:pPr>
      <w:bookmarkStart w:id="61" w:name="fig:persistence"/>
      <w:r>
        <w:drawing>
          <wp:inline>
            <wp:extent cx="5943600" cy="2227670"/>
            <wp:effectExtent b="0" l="0" r="0" t="0"/>
            <wp:docPr descr="Changes in metrics of metapopulation persistence presented as metapopulation capacity (dashed lines) and habitat amount (full lines) from 2020 to 2100. General trends are presented for comparison. Curves are scaled and centred to the same value in 2020, their absolute value may differ. Metapopulation capacity is presented under restricted dispersal distance (1 km) and an approximation of the mean field assumption (500 km). The left panel presents climate-only scenario results and the right panel climate-induced forest change scenario." title="" id="1" name="Picture"/>
            <a:graphic>
              <a:graphicData uri="http://schemas.openxmlformats.org/drawingml/2006/picture">
                <pic:pic>
                  <pic:nvPicPr>
                    <pic:cNvPr descr="./manuscript/img/capacity.png" id="0" name="Picture"/>
                    <pic:cNvPicPr>
                      <a:picLocks noChangeArrowheads="1" noChangeAspect="1"/>
                    </pic:cNvPicPr>
                  </pic:nvPicPr>
                  <pic:blipFill>
                    <a:blip r:embed="rId60"/>
                    <a:stretch>
                      <a:fillRect/>
                    </a:stretch>
                  </pic:blipFill>
                  <pic:spPr bwMode="auto">
                    <a:xfrm>
                      <a:off x="0" y="0"/>
                      <a:ext cx="5943600" cy="2227670"/>
                    </a:xfrm>
                    <a:prstGeom prst="rect">
                      <a:avLst/>
                    </a:prstGeom>
                    <a:noFill/>
                    <a:ln w="9525">
                      <a:noFill/>
                      <a:headEnd/>
                      <a:tailEnd/>
                    </a:ln>
                  </pic:spPr>
                </pic:pic>
              </a:graphicData>
            </a:graphic>
          </wp:inline>
        </w:drawing>
      </w:r>
      <w:bookmarkEnd w:id="61"/>
    </w:p>
    <w:p>
      <w:pPr>
        <w:pStyle w:val="ImageCaption"/>
      </w:pPr>
      <w:r>
        <w:t xml:space="preserve">Changes in metrics of metapopulation persistence presented as</w:t>
      </w:r>
      <w:r>
        <w:t xml:space="preserve"> </w:t>
      </w:r>
      <w:r>
        <w:t xml:space="preserve">metapopulation capacity (dashed lines) and habitat amount (full lines)</w:t>
      </w:r>
      <w:r>
        <w:t xml:space="preserve"> </w:t>
      </w:r>
      <w:r>
        <w:t xml:space="preserve">from 2020 to 2100. General trends are presented for comparison. Curves</w:t>
      </w:r>
      <w:r>
        <w:t xml:space="preserve"> </w:t>
      </w:r>
      <w:r>
        <w:t xml:space="preserve">are scaled and centred to the same value in 2020, their absolute value</w:t>
      </w:r>
      <w:r>
        <w:t xml:space="preserve"> </w:t>
      </w:r>
      <w:r>
        <w:t xml:space="preserve">may differ. Metapopulation capacity is presented under restricted</w:t>
      </w:r>
      <w:r>
        <w:t xml:space="preserve"> </w:t>
      </w:r>
      <w:r>
        <w:t xml:space="preserve">dispersal distance (1 km) and an approximation of the mean field</w:t>
      </w:r>
      <w:r>
        <w:t xml:space="preserve"> </w:t>
      </w:r>
      <w:r>
        <w:t xml:space="preserve">assumption (500 km). The left panel presents climate-only scenario</w:t>
      </w:r>
      <w:r>
        <w:t xml:space="preserve"> </w:t>
      </w:r>
      <w:r>
        <w:t xml:space="preserve">results and the right panel climate-induced forest change</w:t>
      </w:r>
      <w:r>
        <w:t xml:space="preserve"> </w:t>
      </w:r>
      <w:r>
        <w:t xml:space="preserve">scenario.</w:t>
      </w:r>
    </w:p>
    <w:bookmarkEnd w:id="62"/>
    <w:p>
      <w:pPr>
        <w:pStyle w:val="BodyText"/>
      </w:pPr>
      <w:r>
        <w:t xml:space="preserve">We observed an initial increase of 64% (11,743 to 19,344</w:t>
      </w:r>
      <w:r>
        <w:t xml:space="preserve"> </w:t>
      </w:r>
      <m:oMath>
        <m:r>
          <m:t>k</m:t>
        </m:r>
        <m:sSup>
          <m:e>
            <m:r>
              <m:t>m</m:t>
            </m:r>
          </m:e>
          <m:sup>
            <m:r>
              <m:t>2</m:t>
            </m:r>
          </m:sup>
        </m:sSup>
      </m:oMath>
      <w:r>
        <w:t xml:space="preserve">) in</w:t>
      </w:r>
      <w:r>
        <w:t xml:space="preserve"> </w:t>
      </w:r>
      <w:r>
        <w:t xml:space="preserve">habitat amount under the climate-only scenario (total change of +9%</w:t>
      </w:r>
      <w:r>
        <w:t xml:space="preserve"> </w:t>
      </w:r>
      <w:r>
        <w:t xml:space="preserve">between 2020 and 2100; Figure</w:t>
      </w:r>
      <w:r>
        <w:t xml:space="preserve"> </w:t>
      </w:r>
      <w:hyperlink w:anchor="fig:persistence">
        <w:r>
          <w:rPr>
            <w:rStyle w:val="Hyperlink"/>
          </w:rPr>
          <w:t xml:space="preserve">8</w:t>
        </w:r>
      </w:hyperlink>
      <w:r>
        <w:t xml:space="preserve">, full blue line)</w:t>
      </w:r>
      <w:r>
        <w:t xml:space="preserve"> </w:t>
      </w:r>
      <w:r>
        <w:t xml:space="preserve">while habitat amount remained almost stable with only a slight initial</w:t>
      </w:r>
      <w:r>
        <w:t xml:space="preserve"> </w:t>
      </w:r>
      <w:r>
        <w:t xml:space="preserve">decrease of 11% (11,742 to 10,416</w:t>
      </w:r>
      <w:r>
        <w:t xml:space="preserve"> </w:t>
      </w:r>
      <m:oMath>
        <m:r>
          <m:t>k</m:t>
        </m:r>
        <m:sSup>
          <m:e>
            <m:r>
              <m:t>m</m:t>
            </m:r>
          </m:e>
          <m:sup>
            <m:r>
              <m:t>2</m:t>
            </m:r>
          </m:sup>
        </m:sSup>
      </m:oMath>
      <w:r>
        <w:t xml:space="preserve">) under the climate-induced</w:t>
      </w:r>
      <w:r>
        <w:t xml:space="preserve"> </w:t>
      </w:r>
      <w:r>
        <w:t xml:space="preserve">forest change scenario (total change of -15% between 2020 and 2100;</w:t>
      </w:r>
      <w:r>
        <w:t xml:space="preserve"> </w:t>
      </w:r>
      <w:r>
        <w:t xml:space="preserve">Figure</w:t>
      </w:r>
      <w:r>
        <w:t xml:space="preserve"> </w:t>
      </w:r>
      <w:hyperlink w:anchor="fig:persistence">
        <w:r>
          <w:rPr>
            <w:rStyle w:val="Hyperlink"/>
          </w:rPr>
          <w:t xml:space="preserve">8</w:t>
        </w:r>
      </w:hyperlink>
      <w:r>
        <w:t xml:space="preserve">, full orange line). Changes in Bicknell’s</w:t>
      </w:r>
      <w:r>
        <w:t xml:space="preserve"> </w:t>
      </w:r>
      <w:r>
        <w:t xml:space="preserve">Thrush metapopulation capacity approximated those in habitat amount</w:t>
      </w:r>
      <w:r>
        <w:t xml:space="preserve"> </w:t>
      </w:r>
      <w:r>
        <w:t xml:space="preserve">under long average dispersal distance (approximating mean field</w:t>
      </w:r>
      <w:r>
        <w:t xml:space="preserve"> </w:t>
      </w:r>
      <w:r>
        <w:t xml:space="preserve">assumption, Figure</w:t>
      </w:r>
      <w:r>
        <w:t xml:space="preserve"> </w:t>
      </w:r>
      <w:hyperlink w:anchor="fig:persistence">
        <w:r>
          <w:rPr>
            <w:rStyle w:val="Hyperlink"/>
          </w:rPr>
          <w:t xml:space="preserve">8</w:t>
        </w:r>
      </w:hyperlink>
      <w:r>
        <w:t xml:space="preserve">). However, we observed</w:t>
      </w:r>
      <w:r>
        <w:t xml:space="preserve"> </w:t>
      </w:r>
      <w:r>
        <w:t xml:space="preserve">important divergences in the Bicknell’s Thrush metapopulation capacity</w:t>
      </w:r>
      <w:r>
        <w:t xml:space="preserve"> </w:t>
      </w:r>
      <w:r>
        <w:t xml:space="preserve">from habitat amount when dispersal was restricted (Figure</w:t>
      </w:r>
      <w:r>
        <w:t xml:space="preserve"> </w:t>
      </w:r>
      <w:hyperlink w:anchor="fig:persistence">
        <w:r>
          <w:rPr>
            <w:rStyle w:val="Hyperlink"/>
          </w:rPr>
          <w:t xml:space="preserve">8</w:t>
        </w:r>
      </w:hyperlink>
      <w:r>
        <w:t xml:space="preserve">). That is, metapopulation persistence accounting</w:t>
      </w:r>
      <w:r>
        <w:t xml:space="preserve"> </w:t>
      </w:r>
      <w:r>
        <w:t xml:space="preserve">for patch size alone (long-distance dispersal) was closely approximated</w:t>
      </w:r>
      <w:r>
        <w:t xml:space="preserve"> </w:t>
      </w:r>
      <w:r>
        <w:t xml:space="preserve">by habitat amount but differed when accounting for both patch size and</w:t>
      </w:r>
      <w:r>
        <w:t xml:space="preserve"> </w:t>
      </w:r>
      <w:r>
        <w:t xml:space="preserve">connectivity (limited dispersal) when changes in the spatial structure</w:t>
      </w:r>
      <w:r>
        <w:t xml:space="preserve"> </w:t>
      </w:r>
      <w:r>
        <w:t xml:space="preserve">of the breeding range were not explained by habitat amount alone.</w:t>
      </w:r>
    </w:p>
    <w:bookmarkEnd w:id="63"/>
    <w:bookmarkStart w:id="67" w:name="perspectives"/>
    <w:p>
      <w:pPr>
        <w:pStyle w:val="Heading1"/>
      </w:pPr>
      <w:r>
        <w:t xml:space="preserve">Perspectives</w:t>
      </w:r>
    </w:p>
    <w:p>
      <w:pPr>
        <w:pStyle w:val="FirstParagraph"/>
      </w:pPr>
      <w:r>
        <w:t xml:space="preserve">Using theory and a case study, we show that the climate-induced changes</w:t>
      </w:r>
      <w:r>
        <w:t xml:space="preserve"> </w:t>
      </w:r>
      <w:r>
        <w:t xml:space="preserve">in distribution are likely to be impacted by bottom-up interactions,</w:t>
      </w:r>
      <w:r>
        <w:t xml:space="preserve"> </w:t>
      </w:r>
      <w:r>
        <w:t xml:space="preserve">demography, and landscape structure. We first derived three observations</w:t>
      </w:r>
      <w:r>
        <w:t xml:space="preserve"> </w:t>
      </w:r>
      <w:r>
        <w:t xml:space="preserve">from metapopulation theory. i) A specialist’s range is impacted by</w:t>
      </w:r>
      <w:r>
        <w:t xml:space="preserve"> </w:t>
      </w:r>
      <w:r>
        <w:t xml:space="preserve">changes in habitat occupancy and a habitat-abiotic mismatch affects the</w:t>
      </w:r>
      <w:r>
        <w:t xml:space="preserve"> </w:t>
      </w:r>
      <w:r>
        <w:t xml:space="preserve">range limits of the specialist. ii) The interplay between habitat</w:t>
      </w:r>
      <w:r>
        <w:t xml:space="preserve"> </w:t>
      </w:r>
      <w:r>
        <w:t xml:space="preserve">shrinking and connectivity loss is likely to yield precipitated range</w:t>
      </w:r>
      <w:r>
        <w:t xml:space="preserve"> </w:t>
      </w:r>
      <w:r>
        <w:t xml:space="preserve">contraction and could potentially lead to extinction. iii) The direction</w:t>
      </w:r>
      <w:r>
        <w:t xml:space="preserve"> </w:t>
      </w:r>
      <w:r>
        <w:t xml:space="preserve">and amplitude of the specialist’s response to environmental change vary</w:t>
      </w:r>
      <w:r>
        <w:t xml:space="preserve"> </w:t>
      </w:r>
      <w:r>
        <w:t xml:space="preserve">with the degree of environmental response correlation between trophic</w:t>
      </w:r>
      <w:r>
        <w:t xml:space="preserve"> </w:t>
      </w:r>
      <w:r>
        <w:t xml:space="preserve">levels. We projected the suitable environmental conditions for a</w:t>
      </w:r>
      <w:r>
        <w:t xml:space="preserve"> </w:t>
      </w:r>
      <w:r>
        <w:t xml:space="preserve">well-known bird species whose distribution is jointly affected by</w:t>
      </w:r>
      <w:r>
        <w:t xml:space="preserve"> </w:t>
      </w:r>
      <w:r>
        <w:t xml:space="preserve">climate and vegetation and we analyzed its spatial structure. We showed</w:t>
      </w:r>
      <w:r>
        <w:t xml:space="preserve"> </w:t>
      </w:r>
      <w:r>
        <w:t xml:space="preserve">that climate-induced changes to the distribution of suitable climatic</w:t>
      </w:r>
      <w:r>
        <w:t xml:space="preserve"> </w:t>
      </w:r>
      <w:r>
        <w:t xml:space="preserve">conditions differed from that of its biotic habitat. Furthermore, both</w:t>
      </w:r>
      <w:r>
        <w:t xml:space="preserve"> </w:t>
      </w:r>
      <w:r>
        <w:t xml:space="preserve">the amount of habitat and the spatial structure distribution of the</w:t>
      </w:r>
      <w:r>
        <w:t xml:space="preserve"> </w:t>
      </w:r>
      <w:r>
        <w:t xml:space="preserve">favourable abiotic and biotic conditions are predicted to be impacted by</w:t>
      </w:r>
      <w:r>
        <w:t xml:space="preserve"> </w:t>
      </w:r>
      <w:r>
        <w:t xml:space="preserve">climate change. Thus, we expect the persistence of this species under</w:t>
      </w:r>
      <w:r>
        <w:t xml:space="preserve"> </w:t>
      </w:r>
      <w:r>
        <w:t xml:space="preserve">climate change to be fundamentally affected by metapopulation dynamics.</w:t>
      </w:r>
      <w:r>
        <w:t xml:space="preserve"> </w:t>
      </w:r>
      <w:r>
        <w:t xml:space="preserve">We show that the metapopulation approach complements the understanding</w:t>
      </w:r>
      <w:r>
        <w:t xml:space="preserve"> </w:t>
      </w:r>
      <w:r>
        <w:t xml:space="preserve">of distribution changes by correlative SDMs. The metapopulation dynamics</w:t>
      </w:r>
      <w:r>
        <w:t xml:space="preserve"> </w:t>
      </w:r>
      <w:r>
        <w:t xml:space="preserve">are fundamental to account for changes in distributions’ spatial</w:t>
      </w:r>
      <w:r>
        <w:t xml:space="preserve"> </w:t>
      </w:r>
      <w:r>
        <w:t xml:space="preserve">structure and contribute to accurately capturing climate-induced change</w:t>
      </w:r>
      <w:r>
        <w:t xml:space="preserve"> </w:t>
      </w:r>
      <w:r>
        <w:t xml:space="preserve">in species distribution.</w:t>
      </w:r>
    </w:p>
    <w:bookmarkStart w:id="64" w:name="Xfb94c359f1152e819b5c0e1db7c770d5463bfe0"/>
    <w:p>
      <w:pPr>
        <w:pStyle w:val="Heading2"/>
      </w:pPr>
      <w:r>
        <w:t xml:space="preserve">Applications of the metapopulation</w:t>
      </w:r>
      <w:r>
        <w:t xml:space="preserve"> </w:t>
      </w:r>
      <w:r>
        <w:t xml:space="preserve">approach</w:t>
      </w:r>
    </w:p>
    <w:bookmarkEnd w:id="64"/>
    <w:p>
      <w:pPr>
        <w:pStyle w:val="FirstParagraph"/>
      </w:pPr>
      <w:r>
        <w:t xml:space="preserve">Many studies have investigated distribution change using metapopulation</w:t>
      </w:r>
      <w:r>
        <w:t xml:space="preserve"> </w:t>
      </w:r>
      <w:r>
        <w:t xml:space="preserve">theory (Schnell et al.</w:t>
      </w:r>
      <w:r>
        <w:t xml:space="preserve"> </w:t>
      </w:r>
      <w:hyperlink w:anchor="ref-schnell_estimating_2013">
        <w:r>
          <w:rPr>
            <w:rStyle w:val="Hyperlink"/>
          </w:rPr>
          <w:t xml:space="preserve">2013</w:t>
        </w:r>
      </w:hyperlink>
      <w:r>
        <w:t xml:space="preserve">, Talluto et al.</w:t>
      </w:r>
      <w:r>
        <w:t xml:space="preserve"> </w:t>
      </w:r>
      <w:hyperlink w:anchor="ref-talluto_extinction_2017">
        <w:r>
          <w:rPr>
            <w:rStyle w:val="Hyperlink"/>
          </w:rPr>
          <w:t xml:space="preserve">2017</w:t>
        </w:r>
      </w:hyperlink>
      <w:r>
        <w:t xml:space="preserve">, Huang et al.</w:t>
      </w:r>
      <w:r>
        <w:t xml:space="preserve"> </w:t>
      </w:r>
      <w:hyperlink w:anchor="ref-huang_using_2019">
        <w:r>
          <w:rPr>
            <w:rStyle w:val="Hyperlink"/>
          </w:rPr>
          <w:t xml:space="preserve">2019</w:t>
        </w:r>
      </w:hyperlink>
      <w:r>
        <w:t xml:space="preserve">, Vissault et al.</w:t>
      </w:r>
      <w:r>
        <w:t xml:space="preserve"> </w:t>
      </w:r>
      <w:hyperlink w:anchor="ref-vissault_slow_2020">
        <w:r>
          <w:rPr>
            <w:rStyle w:val="Hyperlink"/>
          </w:rPr>
          <w:t xml:space="preserve">2020</w:t>
        </w:r>
      </w:hyperlink>
      <w:r>
        <w:t xml:space="preserve">, Fordham et al.</w:t>
      </w:r>
      <w:r>
        <w:t xml:space="preserve"> </w:t>
      </w:r>
      <w:hyperlink w:anchor="ref-fordham_adapted_2013">
        <w:r>
          <w:rPr>
            <w:rStyle w:val="Hyperlink"/>
          </w:rPr>
          <w:t xml:space="preserve">2013</w:t>
        </w:r>
      </w:hyperlink>
      <w:r>
        <w:t xml:space="preserve">), but few have</w:t>
      </w:r>
      <w:r>
        <w:t xml:space="preserve"> </w:t>
      </w:r>
      <w:r>
        <w:t xml:space="preserve">considered the complexity arising from biotic interactions and dispersal</w:t>
      </w:r>
      <w:r>
        <w:t xml:space="preserve"> </w:t>
      </w:r>
      <w:r>
        <w:t xml:space="preserve">in context of rapid environmental change. Some aspects have, however,</w:t>
      </w:r>
      <w:r>
        <w:t xml:space="preserve"> </w:t>
      </w:r>
      <w:r>
        <w:t xml:space="preserve">been explored, starting with the development of the theoretical basis</w:t>
      </w:r>
      <w:r>
        <w:t xml:space="preserve"> </w:t>
      </w:r>
      <w:r>
        <w:t xml:space="preserve">for metapopulation dynamics on heterogeneous landscapes. Spatially</w:t>
      </w:r>
      <w:r>
        <w:t xml:space="preserve"> </w:t>
      </w:r>
      <w:r>
        <w:t xml:space="preserve">realistic metapopulation theory has allowed modelling of distribution</w:t>
      </w:r>
      <w:r>
        <w:t xml:space="preserve"> </w:t>
      </w:r>
      <w:r>
        <w:t xml:space="preserve">dynamics in species living in fragmented landscapes (Hanski</w:t>
      </w:r>
      <w:r>
        <w:t xml:space="preserve"> </w:t>
      </w:r>
      <w:hyperlink w:anchor="ref-hanski_metapopulation_1998">
        <w:r>
          <w:rPr>
            <w:rStyle w:val="Hyperlink"/>
          </w:rPr>
          <w:t xml:space="preserve">1998</w:t>
        </w:r>
      </w:hyperlink>
      <w:r>
        <w:t xml:space="preserve">,</w:t>
      </w:r>
      <w:r>
        <w:t xml:space="preserve"> </w:t>
      </w:r>
      <w:hyperlink w:anchor="ref-hanski_habitat_1999">
        <w:r>
          <w:rPr>
            <w:rStyle w:val="Hyperlink"/>
          </w:rPr>
          <w:t xml:space="preserve">1999</w:t>
        </w:r>
      </w:hyperlink>
      <w:hyperlink w:anchor="ref-hanski_habitat_1999">
        <w:r>
          <w:rPr>
            <w:rStyle w:val="Hyperlink"/>
          </w:rPr>
          <w:t xml:space="preserve">b</w:t>
        </w:r>
      </w:hyperlink>
      <w:r>
        <w:t xml:space="preserve">,</w:t>
      </w:r>
      <w:r>
        <w:t xml:space="preserve"> </w:t>
      </w:r>
      <w:hyperlink w:anchor="ref-hanski_spatially_2001">
        <w:r>
          <w:rPr>
            <w:rStyle w:val="Hyperlink"/>
          </w:rPr>
          <w:t xml:space="preserve">2001</w:t>
        </w:r>
      </w:hyperlink>
      <w:r>
        <w:t xml:space="preserve">). The coupling of</w:t>
      </w:r>
      <w:r>
        <w:t xml:space="preserve"> </w:t>
      </w:r>
      <w:r>
        <w:t xml:space="preserve">spatially explicit metapopulation models with dynamic climate change</w:t>
      </w:r>
      <w:r>
        <w:t xml:space="preserve"> </w:t>
      </w:r>
      <w:r>
        <w:t xml:space="preserve">represents a significant conceptual advancement toward realistic</w:t>
      </w:r>
      <w:r>
        <w:t xml:space="preserve"> </w:t>
      </w:r>
      <w:r>
        <w:t xml:space="preserve">projections (Anderson et al.</w:t>
      </w:r>
      <w:r>
        <w:t xml:space="preserve"> </w:t>
      </w:r>
      <w:hyperlink w:anchor="ref-anderson_dynamics_2009">
        <w:r>
          <w:rPr>
            <w:rStyle w:val="Hyperlink"/>
          </w:rPr>
          <w:t xml:space="preserve">2009</w:t>
        </w:r>
      </w:hyperlink>
      <w:r>
        <w:t xml:space="preserve">). Our analysis</w:t>
      </w:r>
      <w:r>
        <w:t xml:space="preserve"> </w:t>
      </w:r>
      <w:r>
        <w:t xml:space="preserve">reveals distribution dynamics that previous methods fail to capture,</w:t>
      </w:r>
      <w:r>
        <w:t xml:space="preserve"> </w:t>
      </w:r>
      <w:r>
        <w:t xml:space="preserve">demonstrating the importance of integrating dynamic processes. A</w:t>
      </w:r>
      <w:r>
        <w:t xml:space="preserve"> </w:t>
      </w:r>
      <w:r>
        <w:t xml:space="preserve">simulation study of the Iberian lynx distribution was the first study to</w:t>
      </w:r>
      <w:r>
        <w:t xml:space="preserve"> </w:t>
      </w:r>
      <w:r>
        <w:t xml:space="preserve">consider the interplay of climate change and trophic interactions using</w:t>
      </w:r>
      <w:r>
        <w:t xml:space="preserve"> </w:t>
      </w:r>
      <w:r>
        <w:t xml:space="preserve">a metapopulation approach (Fordham et al.</w:t>
      </w:r>
      <w:r>
        <w:t xml:space="preserve"> </w:t>
      </w:r>
      <w:hyperlink w:anchor="ref-fordham_adapted_2013">
        <w:r>
          <w:rPr>
            <w:rStyle w:val="Hyperlink"/>
          </w:rPr>
          <w:t xml:space="preserve">2013</w:t>
        </w:r>
      </w:hyperlink>
      <w:r>
        <w:t xml:space="preserve">). It showed that</w:t>
      </w:r>
      <w:r>
        <w:t xml:space="preserve"> </w:t>
      </w:r>
      <w:r>
        <w:t xml:space="preserve">these factors could be explicitly considered together, exhibiting</w:t>
      </w:r>
      <w:r>
        <w:t xml:space="preserve"> </w:t>
      </w:r>
      <w:r>
        <w:t xml:space="preserve">distribution dynamics of greater complexity and realism. Moreover, the</w:t>
      </w:r>
      <w:r>
        <w:t xml:space="preserve"> </w:t>
      </w:r>
      <w:r>
        <w:t xml:space="preserve">use of the metapopulation approach has made possible the study of</w:t>
      </w:r>
      <w:r>
        <w:t xml:space="preserve"> </w:t>
      </w:r>
      <w:r>
        <w:t xml:space="preserve">non-equilibrium distributions by the scaling of local processes at the</w:t>
      </w:r>
      <w:r>
        <w:t xml:space="preserve"> </w:t>
      </w:r>
      <w:r>
        <w:t xml:space="preserve">entire distribution (Talluto et al.</w:t>
      </w:r>
      <w:r>
        <w:t xml:space="preserve"> </w:t>
      </w:r>
      <w:hyperlink w:anchor="ref-talluto_extinction_2017">
        <w:r>
          <w:rPr>
            <w:rStyle w:val="Hyperlink"/>
          </w:rPr>
          <w:t xml:space="preserve">2017</w:t>
        </w:r>
      </w:hyperlink>
      <w:r>
        <w:t xml:space="preserve">). Recently, the</w:t>
      </w:r>
      <w:r>
        <w:t xml:space="preserve"> </w:t>
      </w:r>
      <w:r>
        <w:t xml:space="preserve">approach was extended to non-equilibrium dynamics of range shift in</w:t>
      </w:r>
      <w:r>
        <w:t xml:space="preserve"> </w:t>
      </w:r>
      <w:r>
        <w:t xml:space="preserve">response to climate change, opening the way for the study of nonlinear</w:t>
      </w:r>
      <w:r>
        <w:t xml:space="preserve"> </w:t>
      </w:r>
      <w:r>
        <w:t xml:space="preserve">dynamics of migration (Vissault et al.</w:t>
      </w:r>
      <w:r>
        <w:t xml:space="preserve"> </w:t>
      </w:r>
      <w:hyperlink w:anchor="ref-vissault_slow_2020">
        <w:r>
          <w:rPr>
            <w:rStyle w:val="Hyperlink"/>
          </w:rPr>
          <w:t xml:space="preserve">2020</w:t>
        </w:r>
      </w:hyperlink>
      <w:r>
        <w:t xml:space="preserve">). The metapopulation</w:t>
      </w:r>
      <w:r>
        <w:t xml:space="preserve"> </w:t>
      </w:r>
      <w:r>
        <w:t xml:space="preserve">framework that we propose here builds on these previous developments to</w:t>
      </w:r>
      <w:r>
        <w:t xml:space="preserve"> </w:t>
      </w:r>
      <w:r>
        <w:t xml:space="preserve">advance toward simultaneously projecting changes in demography and</w:t>
      </w:r>
      <w:r>
        <w:t xml:space="preserve"> </w:t>
      </w:r>
      <w:r>
        <w:t xml:space="preserve">dispersal in response to climate change and the multi-species effects of</w:t>
      </w:r>
      <w:r>
        <w:t xml:space="preserve"> </w:t>
      </w:r>
      <w:r>
        <w:t xml:space="preserve">biotic interactions on the distribution of species.</w:t>
      </w:r>
    </w:p>
    <w:p>
      <w:pPr>
        <w:pStyle w:val="BodyText"/>
      </w:pPr>
      <w:r>
        <w:t xml:space="preserve">The use of the metapopulation theory to inform conservation goes as far</w:t>
      </w:r>
      <w:r>
        <w:t xml:space="preserve"> </w:t>
      </w:r>
      <w:r>
        <w:t xml:space="preserve">back as 1985 (Shaffer</w:t>
      </w:r>
      <w:r>
        <w:t xml:space="preserve"> </w:t>
      </w:r>
      <w:hyperlink w:anchor="ref-shaffer_metapopulation_1985">
        <w:r>
          <w:rPr>
            <w:rStyle w:val="Hyperlink"/>
          </w:rPr>
          <w:t xml:space="preserve">1985</w:t>
        </w:r>
      </w:hyperlink>
      <w:r>
        <w:t xml:space="preserve">) for species</w:t>
      </w:r>
      <w:r>
        <w:t xml:space="preserve"> </w:t>
      </w:r>
      <w:r>
        <w:t xml:space="preserve">with patchy population structures and has since been adapted to account</w:t>
      </w:r>
      <w:r>
        <w:t xml:space="preserve"> </w:t>
      </w:r>
      <w:r>
        <w:t xml:space="preserve">for specific spatial and population dynamics (Hanski and Simberloff</w:t>
      </w:r>
      <w:r>
        <w:t xml:space="preserve"> </w:t>
      </w:r>
      <w:hyperlink w:anchor="ref-hanski_metapopulation_1997">
        <w:r>
          <w:rPr>
            <w:rStyle w:val="Hyperlink"/>
          </w:rPr>
          <w:t xml:space="preserve">1997</w:t>
        </w:r>
      </w:hyperlink>
      <w:r>
        <w:t xml:space="preserve">, Huang et al.</w:t>
      </w:r>
      <w:r>
        <w:t xml:space="preserve"> </w:t>
      </w:r>
      <w:hyperlink w:anchor="ref-huang_using_2019">
        <w:r>
          <w:rPr>
            <w:rStyle w:val="Hyperlink"/>
          </w:rPr>
          <w:t xml:space="preserve">2019</w:t>
        </w:r>
      </w:hyperlink>
      <w:r>
        <w:t xml:space="preserve">, Fordham et al.</w:t>
      </w:r>
      <w:r>
        <w:t xml:space="preserve"> </w:t>
      </w:r>
      <w:hyperlink w:anchor="ref-fordham_adapted_2013">
        <w:r>
          <w:rPr>
            <w:rStyle w:val="Hyperlink"/>
          </w:rPr>
          <w:t xml:space="preserve">2013</w:t>
        </w:r>
      </w:hyperlink>
      <w:r>
        <w:t xml:space="preserve">). In response to</w:t>
      </w:r>
      <w:r>
        <w:t xml:space="preserve"> </w:t>
      </w:r>
      <w:r>
        <w:t xml:space="preserve">exploitation pressure from the logging companies and an extinction risk</w:t>
      </w:r>
      <w:r>
        <w:t xml:space="preserve"> </w:t>
      </w:r>
      <w:r>
        <w:t xml:space="preserve">increasing rapidly, a spatially explicit metapopulation model was used</w:t>
      </w:r>
      <w:r>
        <w:t xml:space="preserve"> </w:t>
      </w:r>
      <w:r>
        <w:t xml:space="preserve">to define the amount of pristine forest needed to assure the survival of</w:t>
      </w:r>
      <w:r>
        <w:t xml:space="preserve"> </w:t>
      </w:r>
      <w:r>
        <w:t xml:space="preserve">the northern spotted owl (</w:t>
      </w:r>
      <w:r>
        <w:rPr>
          <w:i/>
        </w:rPr>
        <w:t xml:space="preserve">Strix occidentalis caurina</w:t>
      </w:r>
      <w:r>
        <w:t xml:space="preserve">) in the</w:t>
      </w:r>
      <w:r>
        <w:t xml:space="preserve"> </w:t>
      </w:r>
      <w:r>
        <w:t xml:space="preserve">Northwestern United States (Shaffer</w:t>
      </w:r>
      <w:r>
        <w:t xml:space="preserve"> </w:t>
      </w:r>
      <w:hyperlink w:anchor="ref-shaffer_metapopulation_1985">
        <w:r>
          <w:rPr>
            <w:rStyle w:val="Hyperlink"/>
          </w:rPr>
          <w:t xml:space="preserve">1985</w:t>
        </w:r>
      </w:hyperlink>
      <w:r>
        <w:t xml:space="preserve">, Lamberson et</w:t>
      </w:r>
      <w:r>
        <w:t xml:space="preserve"> </w:t>
      </w:r>
      <w:r>
        <w:t xml:space="preserve">al.</w:t>
      </w:r>
      <w:r>
        <w:t xml:space="preserve"> </w:t>
      </w:r>
      <w:hyperlink w:anchor="ref-lamberson_effects_1993">
        <w:r>
          <w:rPr>
            <w:rStyle w:val="Hyperlink"/>
          </w:rPr>
          <w:t xml:space="preserve">1993</w:t>
        </w:r>
      </w:hyperlink>
      <w:r>
        <w:t xml:space="preserve">). More</w:t>
      </w:r>
      <w:r>
        <w:t xml:space="preserve"> </w:t>
      </w:r>
      <w:r>
        <w:t xml:space="preserve">recently, the incidence function model has been used to study</w:t>
      </w:r>
      <w:r>
        <w:t xml:space="preserve"> </w:t>
      </w:r>
      <w:r>
        <w:t xml:space="preserve">large-scale population dynamics in the Glanville fritillary</w:t>
      </w:r>
      <w:r>
        <w:t xml:space="preserve"> </w:t>
      </w:r>
      <w:r>
        <w:t xml:space="preserve">(</w:t>
      </w:r>
      <w:r>
        <w:rPr>
          <w:i/>
        </w:rPr>
        <w:t xml:space="preserve">Melitaea cinxia</w:t>
      </w:r>
      <w:r>
        <w:t xml:space="preserve">) whose distribution has shrunk in Europe to</w:t>
      </w:r>
      <w:r>
        <w:t xml:space="preserve"> </w:t>
      </w:r>
      <w:r>
        <w:t xml:space="preserve">become highly fragmented (Hanski</w:t>
      </w:r>
      <w:r>
        <w:t xml:space="preserve"> </w:t>
      </w:r>
      <w:hyperlink w:anchor="ref-hanski_practical_1994">
        <w:r>
          <w:rPr>
            <w:rStyle w:val="Hyperlink"/>
          </w:rPr>
          <w:t xml:space="preserve">1994</w:t>
        </w:r>
      </w:hyperlink>
      <w:r>
        <w:t xml:space="preserve">, Hanski et al.</w:t>
      </w:r>
      <w:r>
        <w:t xml:space="preserve"> </w:t>
      </w:r>
      <w:hyperlink w:anchor="ref-hanski_metapopulation_1994">
        <w:r>
          <w:rPr>
            <w:rStyle w:val="Hyperlink"/>
          </w:rPr>
          <w:t xml:space="preserve">1994</w:t>
        </w:r>
      </w:hyperlink>
      <w:r>
        <w:t xml:space="preserve">). The</w:t>
      </w:r>
      <w:r>
        <w:t xml:space="preserve"> </w:t>
      </w:r>
      <w:r>
        <w:t xml:space="preserve">application of these models to case studies demonstrates the value of</w:t>
      </w:r>
      <w:r>
        <w:t xml:space="preserve"> </w:t>
      </w:r>
      <w:r>
        <w:t xml:space="preserve">the metapopulation approach in describing the distribution dynamics of</w:t>
      </w:r>
      <w:r>
        <w:t xml:space="preserve"> </w:t>
      </w:r>
      <w:r>
        <w:t xml:space="preserve">species while being strongly rooted in theory and simple enough to be</w:t>
      </w:r>
      <w:r>
        <w:t xml:space="preserve"> </w:t>
      </w:r>
      <w:r>
        <w:t xml:space="preserve">parameterized using available ecological data (Hanski</w:t>
      </w:r>
      <w:r>
        <w:t xml:space="preserve"> </w:t>
      </w:r>
      <w:hyperlink w:anchor="ref-hanski_metapopulation_1999">
        <w:r>
          <w:rPr>
            <w:rStyle w:val="Hyperlink"/>
          </w:rPr>
          <w:t xml:space="preserve">1999</w:t>
        </w:r>
      </w:hyperlink>
      <w:hyperlink w:anchor="ref-hanski_metapopulation_1999">
        <w:r>
          <w:rPr>
            <w:rStyle w:val="Hyperlink"/>
          </w:rPr>
          <w:t xml:space="preserve">a</w:t>
        </w:r>
      </w:hyperlink>
      <w:r>
        <w:t xml:space="preserve">).</w:t>
      </w:r>
    </w:p>
    <w:p>
      <w:pPr>
        <w:pStyle w:val="BodyText"/>
      </w:pPr>
      <w:r>
        <w:t xml:space="preserve">Metapopulation theory and models effect today how conservation</w:t>
      </w:r>
      <w:r>
        <w:t xml:space="preserve"> </w:t>
      </w:r>
      <w:r>
        <w:t xml:space="preserve">priorities are defined at a variety of scales. The conservation of</w:t>
      </w:r>
      <w:r>
        <w:t xml:space="preserve"> </w:t>
      </w:r>
      <w:r>
        <w:t xml:space="preserve">ecological corridors is the current focus of important initiatives</w:t>
      </w:r>
      <w:r>
        <w:t xml:space="preserve"> </w:t>
      </w:r>
      <w:r>
        <w:t xml:space="preserve">worldwide including, but not limited to, Corridor Appalachien, Nature</w:t>
      </w:r>
      <w:r>
        <w:t xml:space="preserve"> </w:t>
      </w:r>
      <w:r>
        <w:t xml:space="preserve">Conservancy Canada, Yellowstone to Yukon Conservation Initiative and</w:t>
      </w:r>
      <w:r>
        <w:t xml:space="preserve"> </w:t>
      </w:r>
      <w:r>
        <w:t xml:space="preserve">Western Wildway Network Priority Corridor Project, while habitat</w:t>
      </w:r>
      <w:r>
        <w:t xml:space="preserve"> </w:t>
      </w:r>
      <w:r>
        <w:t xml:space="preserve">fragmentation is a criterion of threat for the IUCN Red List (IUCN</w:t>
      </w:r>
      <w:r>
        <w:t xml:space="preserve"> </w:t>
      </w:r>
      <w:hyperlink w:anchor="ref-iucn_iucn_2021">
        <w:r>
          <w:rPr>
            <w:rStyle w:val="Hyperlink"/>
          </w:rPr>
          <w:t xml:space="preserve">2021</w:t>
        </w:r>
      </w:hyperlink>
      <w:r>
        <w:t xml:space="preserve">). Metapopulation theory</w:t>
      </w:r>
      <w:r>
        <w:t xml:space="preserve"> </w:t>
      </w:r>
      <w:r>
        <w:t xml:space="preserve">predicts the scaling of extinction risk with increasing habitat</w:t>
      </w:r>
      <w:r>
        <w:t xml:space="preserve"> </w:t>
      </w:r>
      <w:r>
        <w:t xml:space="preserve">isolation, something other non-spatially explicit approaches do not</w:t>
      </w:r>
      <w:r>
        <w:t xml:space="preserve"> </w:t>
      </w:r>
      <w:r>
        <w:t xml:space="preserve">consider. We further show that a species’ ability to access suitable</w:t>
      </w:r>
      <w:r>
        <w:t xml:space="preserve"> </w:t>
      </w:r>
      <w:r>
        <w:t xml:space="preserve">habitat is a determining factor of its persistence. Equally, assisted</w:t>
      </w:r>
      <w:r>
        <w:t xml:space="preserve"> </w:t>
      </w:r>
      <w:r>
        <w:t xml:space="preserve">colonization and habitat restoration are brought forward as means to</w:t>
      </w:r>
      <w:r>
        <w:t xml:space="preserve"> </w:t>
      </w:r>
      <w:r>
        <w:t xml:space="preserve">support species persistence by increasing respectively colonization</w:t>
      </w:r>
      <w:r>
        <w:t xml:space="preserve"> </w:t>
      </w:r>
      <w:r>
        <w:t xml:space="preserve">rates and habitat occupancy (Willis et al.</w:t>
      </w:r>
      <w:r>
        <w:t xml:space="preserve"> </w:t>
      </w:r>
      <w:hyperlink w:anchor="ref-willis_assisted_2009">
        <w:r>
          <w:rPr>
            <w:rStyle w:val="Hyperlink"/>
          </w:rPr>
          <w:t xml:space="preserve">2009</w:t>
        </w:r>
      </w:hyperlink>
      <w:r>
        <w:t xml:space="preserve">, Ricciardi and</w:t>
      </w:r>
      <w:r>
        <w:t xml:space="preserve"> </w:t>
      </w:r>
      <w:r>
        <w:t xml:space="preserve">Simberloff</w:t>
      </w:r>
      <w:r>
        <w:t xml:space="preserve"> </w:t>
      </w:r>
      <w:hyperlink w:anchor="ref-ricciardi_assisted_2009">
        <w:r>
          <w:rPr>
            <w:rStyle w:val="Hyperlink"/>
          </w:rPr>
          <w:t xml:space="preserve">2009</w:t>
        </w:r>
      </w:hyperlink>
      <w:r>
        <w:t xml:space="preserve">,</w:t>
      </w:r>
      <w:r>
        <w:t xml:space="preserve"> </w:t>
      </w:r>
      <w:r>
        <w:t xml:space="preserve">Fordham et al.</w:t>
      </w:r>
      <w:r>
        <w:t xml:space="preserve"> </w:t>
      </w:r>
      <w:hyperlink w:anchor="ref-fordham_adapted_2013">
        <w:r>
          <w:rPr>
            <w:rStyle w:val="Hyperlink"/>
          </w:rPr>
          <w:t xml:space="preserve">2013</w:t>
        </w:r>
      </w:hyperlink>
      <w:r>
        <w:t xml:space="preserve">).</w:t>
      </w:r>
      <w:r>
        <w:t xml:space="preserve"> </w:t>
      </w:r>
      <w:r>
        <w:t xml:space="preserve">Ultimately, metapopulation theory’s main contribution to current</w:t>
      </w:r>
      <w:r>
        <w:t xml:space="preserve"> </w:t>
      </w:r>
      <w:r>
        <w:t xml:space="preserve">conservation initiatives has been to raise attention on the effect of</w:t>
      </w:r>
      <w:r>
        <w:t xml:space="preserve"> </w:t>
      </w:r>
      <w:r>
        <w:t xml:space="preserve">spatial structure of the landscape and dispersal on species persistence.</w:t>
      </w:r>
    </w:p>
    <w:bookmarkStart w:id="65" w:name="metapopulation-dynamics"/>
    <w:p>
      <w:pPr>
        <w:pStyle w:val="Heading2"/>
      </w:pPr>
      <w:r>
        <w:t xml:space="preserve">Metapopulation dynamics</w:t>
      </w:r>
    </w:p>
    <w:bookmarkEnd w:id="65"/>
    <w:p>
      <w:pPr>
        <w:pStyle w:val="FirstParagraph"/>
      </w:pPr>
      <w:r>
        <w:t xml:space="preserve">We have shown using a metapopulation approach that a change in the</w:t>
      </w:r>
      <w:r>
        <w:t xml:space="preserve"> </w:t>
      </w:r>
      <w:r>
        <w:t xml:space="preserve">occupancy of a habitat along an abiotic environmental gradient may</w:t>
      </w:r>
      <w:r>
        <w:t xml:space="preserve"> </w:t>
      </w:r>
      <w:r>
        <w:t xml:space="preserve">impact the distribution of higher levels, such as predators or, here,</w:t>
      </w:r>
      <w:r>
        <w:t xml:space="preserve"> </w:t>
      </w:r>
      <w:r>
        <w:t xml:space="preserve">habitat specialists. Therefore, a mismatch between the distribution of</w:t>
      </w:r>
      <w:r>
        <w:t xml:space="preserve"> </w:t>
      </w:r>
      <w:r>
        <w:t xml:space="preserve">the habitat and of the favourable abiotic conditions may affect the</w:t>
      </w:r>
      <w:r>
        <w:t xml:space="preserve"> </w:t>
      </w:r>
      <w:r>
        <w:t xml:space="preserve">position of the specialist’s range edge along an environmental gradient.</w:t>
      </w:r>
      <w:r>
        <w:t xml:space="preserve"> </w:t>
      </w:r>
      <w:r>
        <w:t xml:space="preserve">This is the result of local increases or decreases in colonization and</w:t>
      </w:r>
      <w:r>
        <w:t xml:space="preserve"> </w:t>
      </w:r>
      <w:r>
        <w:t xml:space="preserve">extinction rates from changes in habitat occupancy. Indeed, we observed</w:t>
      </w:r>
      <w:r>
        <w:t xml:space="preserve"> </w:t>
      </w:r>
      <w:r>
        <w:t xml:space="preserve">the Bicknell’s Thrush breeding range projection from climate-induced</w:t>
      </w:r>
      <w:r>
        <w:t xml:space="preserve"> </w:t>
      </w:r>
      <w:r>
        <w:t xml:space="preserve">forest change to remain stable despite important climate change. Less</w:t>
      </w:r>
      <w:r>
        <w:t xml:space="preserve"> </w:t>
      </w:r>
      <w:r>
        <w:t xml:space="preserve">contraction than expected from climate-only projections were observed at</w:t>
      </w:r>
      <w:r>
        <w:t xml:space="preserve"> </w:t>
      </w:r>
      <w:r>
        <w:t xml:space="preserve">the warm edge of southern local habitat patches, indicating the</w:t>
      </w:r>
      <w:r>
        <w:t xml:space="preserve"> </w:t>
      </w:r>
      <w:r>
        <w:t xml:space="preserve">establishment of a mismatch. The high elevation coniferous patches</w:t>
      </w:r>
      <w:r>
        <w:t xml:space="preserve"> </w:t>
      </w:r>
      <w:r>
        <w:t xml:space="preserve">persisted into warmer abiotic conditions, increasing fir occupancy under</w:t>
      </w:r>
      <w:r>
        <w:t xml:space="preserve"> </w:t>
      </w:r>
      <w:r>
        <w:t xml:space="preserve">abiotic conditions where it was previously rare or absent. Furthermore,</w:t>
      </w:r>
      <w:r>
        <w:t xml:space="preserve"> </w:t>
      </w:r>
      <w:r>
        <w:t xml:space="preserve">we observed no range expansion of the specialist where the climate-only</w:t>
      </w:r>
      <w:r>
        <w:t xml:space="preserve"> </w:t>
      </w:r>
      <w:r>
        <w:t xml:space="preserve">scenario predicts northern expansion, revealing a decrease in habitat</w:t>
      </w:r>
      <w:r>
        <w:t xml:space="preserve"> </w:t>
      </w:r>
      <w:r>
        <w:t xml:space="preserve">occupancy for climatic conditions where it was previously available.</w:t>
      </w:r>
      <w:r>
        <w:t xml:space="preserve"> </w:t>
      </w:r>
      <w:r>
        <w:t xml:space="preserve">This observation is likely the result of prolonged persistence (i.e.,</w:t>
      </w:r>
      <w:r>
        <w:t xml:space="preserve"> </w:t>
      </w:r>
      <w:r>
        <w:t xml:space="preserve">extinction debt) of the Bicknell’s Thrush where it is already observed</w:t>
      </w:r>
      <w:r>
        <w:t xml:space="preserve"> </w:t>
      </w:r>
      <w:r>
        <w:t xml:space="preserve">despite less favourable abiotic conditions, and the reduction of</w:t>
      </w:r>
      <w:r>
        <w:t xml:space="preserve"> </w:t>
      </w:r>
      <w:r>
        <w:t xml:space="preserve">occupancy in favourable abiotic conditions where it is initially</w:t>
      </w:r>
      <w:r>
        <w:t xml:space="preserve"> </w:t>
      </w:r>
      <w:r>
        <w:t xml:space="preserve">observed (i.e., colonization credit). As a result, non-equilibrium</w:t>
      </w:r>
      <w:r>
        <w:t xml:space="preserve"> </w:t>
      </w:r>
      <w:r>
        <w:t xml:space="preserve">dynamics in Bicknell’s Thrush distribution change are predicted to be an</w:t>
      </w:r>
      <w:r>
        <w:t xml:space="preserve"> </w:t>
      </w:r>
      <w:r>
        <w:t xml:space="preserve">important source of complexity. Forested habitat-abiotic, or</w:t>
      </w:r>
      <w:r>
        <w:t xml:space="preserve"> </w:t>
      </w:r>
      <w:r>
        <w:t xml:space="preserve">resource-abiotic mismatch in response to environmental change is to be</w:t>
      </w:r>
      <w:r>
        <w:t xml:space="preserve"> </w:t>
      </w:r>
      <w:r>
        <w:t xml:space="preserve">expected in natural systems from limitations in dispersal ability and</w:t>
      </w:r>
      <w:r>
        <w:t xml:space="preserve"> </w:t>
      </w:r>
      <w:r>
        <w:t xml:space="preserve">demography (Svenning et al.</w:t>
      </w:r>
      <w:r>
        <w:t xml:space="preserve"> </w:t>
      </w:r>
      <w:hyperlink w:anchor="ref-svenning_influence_2014">
        <w:r>
          <w:rPr>
            <w:rStyle w:val="Hyperlink"/>
          </w:rPr>
          <w:t xml:space="preserve">2014</w:t>
        </w:r>
      </w:hyperlink>
      <w:r>
        <w:t xml:space="preserve">). Conversely,</w:t>
      </w:r>
      <w:r>
        <w:t xml:space="preserve"> </w:t>
      </w:r>
      <w:r>
        <w:t xml:space="preserve">habitats that shift faster than abiotic conditions may instead decrease</w:t>
      </w:r>
      <w:r>
        <w:t xml:space="preserve"> </w:t>
      </w:r>
      <w:r>
        <w:t xml:space="preserve">specialist persistence in its current range and favour environmental,</w:t>
      </w:r>
      <w:r>
        <w:t xml:space="preserve"> </w:t>
      </w:r>
      <w:r>
        <w:t xml:space="preserve">but not geographical range stability. It is clear that non-equilibrium</w:t>
      </w:r>
      <w:r>
        <w:t xml:space="preserve"> </w:t>
      </w:r>
      <w:r>
        <w:t xml:space="preserve">dynamics in species distributions are key elements of complexity. Hence,</w:t>
      </w:r>
      <w:r>
        <w:t xml:space="preserve"> </w:t>
      </w:r>
      <w:r>
        <w:t xml:space="preserve">predictions are likely to be biased without proper models to account for</w:t>
      </w:r>
      <w:r>
        <w:t xml:space="preserve"> </w:t>
      </w:r>
      <w:r>
        <w:t xml:space="preserve">it.</w:t>
      </w:r>
    </w:p>
    <w:p>
      <w:pPr>
        <w:pStyle w:val="BodyText"/>
      </w:pPr>
      <w:r>
        <w:t xml:space="preserve">Correlative SDMs predict direct response of species’ range to habitat</w:t>
      </w:r>
      <w:r>
        <w:t xml:space="preserve"> </w:t>
      </w:r>
      <w:r>
        <w:t xml:space="preserve">amount variations such that a decrease in habitat amount causes an</w:t>
      </w:r>
      <w:r>
        <w:t xml:space="preserve"> </w:t>
      </w:r>
      <w:r>
        <w:t xml:space="preserve">equivalent contraction of the species’ range. However, we have shown</w:t>
      </w:r>
      <w:r>
        <w:t xml:space="preserve"> </w:t>
      </w:r>
      <w:r>
        <w:t xml:space="preserve">that a metapopulation framework offers complementary information to</w:t>
      </w:r>
      <w:r>
        <w:t xml:space="preserve"> </w:t>
      </w:r>
      <w:r>
        <w:t xml:space="preserve">extract from habitat projections. The contraction of a species’ range</w:t>
      </w:r>
      <w:r>
        <w:t xml:space="preserve"> </w:t>
      </w:r>
      <w:r>
        <w:t xml:space="preserve">may be accelerated (or slowed) by metapopulation dynamics. Here, the</w:t>
      </w:r>
      <w:r>
        <w:t xml:space="preserve"> </w:t>
      </w:r>
      <w:r>
        <w:t xml:space="preserve">effect of landscape connectivity interacts with habitat occupancy to</w:t>
      </w:r>
      <w:r>
        <w:t xml:space="preserve"> </w:t>
      </w:r>
      <w:r>
        <w:t xml:space="preserve">generate dynamics of greater complexity. We observed changes in the</w:t>
      </w:r>
      <w:r>
        <w:t xml:space="preserve"> </w:t>
      </w:r>
      <w:r>
        <w:t xml:space="preserve">Bicknell’s Thrush distribution projections in both habitat amount and in</w:t>
      </w:r>
      <w:r>
        <w:t xml:space="preserve"> </w:t>
      </w:r>
      <w:r>
        <w:t xml:space="preserve">spatial structure of habitat patches. Landscape connectivity was</w:t>
      </w:r>
      <w:r>
        <w:t xml:space="preserve"> </w:t>
      </w:r>
      <w:r>
        <w:t xml:space="preserve">affected by newly suitable habitat patches, the extinction of the</w:t>
      </w:r>
      <w:r>
        <w:t xml:space="preserve"> </w:t>
      </w:r>
      <w:r>
        <w:t xml:space="preserve">smallest habitat patches, the fragmentation of the larger ones, and the</w:t>
      </w:r>
      <w:r>
        <w:t xml:space="preserve"> </w:t>
      </w:r>
      <w:r>
        <w:t xml:space="preserve">dispersal distance. In concordance with our intuition, changes in</w:t>
      </w:r>
      <w:r>
        <w:t xml:space="preserve"> </w:t>
      </w:r>
      <w:r>
        <w:t xml:space="preserve">Bicknell’s Thrush persistence were affected by metapopulation dynamics.</w:t>
      </w:r>
      <w:r>
        <w:t xml:space="preserve"> </w:t>
      </w:r>
      <w:r>
        <w:t xml:space="preserve">Persistence could not be explained by changes in habitat amount alone</w:t>
      </w:r>
      <w:r>
        <w:t xml:space="preserve"> </w:t>
      </w:r>
      <w:r>
        <w:t xml:space="preserve">contrasting with the assumption made by correlative SDMs (Figure 8).</w:t>
      </w:r>
      <w:r>
        <w:t xml:space="preserve"> </w:t>
      </w:r>
      <w:r>
        <w:t xml:space="preserve">Furthermore, our results support Hanski</w:t>
      </w:r>
      <w:r>
        <w:t xml:space="preserve"> </w:t>
      </w:r>
      <w:r>
        <w:t xml:space="preserve">(</w:t>
      </w:r>
      <w:hyperlink w:anchor="ref-hanski_habitat_2015">
        <w:r>
          <w:rPr>
            <w:rStyle w:val="Hyperlink"/>
          </w:rPr>
          <w:t xml:space="preserve">2015</w:t>
        </w:r>
      </w:hyperlink>
      <w:r>
        <w:t xml:space="preserve">) in that connectivity</w:t>
      </w:r>
      <w:r>
        <w:t xml:space="preserve"> </w:t>
      </w:r>
      <w:r>
        <w:t xml:space="preserve">is fundamental to species regional distribution, abundance, and</w:t>
      </w:r>
      <w:r>
        <w:t xml:space="preserve"> </w:t>
      </w:r>
      <w:r>
        <w:t xml:space="preserve">biodiversity in opposition to the habitat amount hypothesis (Fahrig</w:t>
      </w:r>
      <w:r>
        <w:t xml:space="preserve"> </w:t>
      </w:r>
      <w:hyperlink w:anchor="ref-fahrig_rethinking_2013">
        <w:r>
          <w:rPr>
            <w:rStyle w:val="Hyperlink"/>
          </w:rPr>
          <w:t xml:space="preserve">2013</w:t>
        </w:r>
      </w:hyperlink>
      <w:r>
        <w:t xml:space="preserve">). That is because</w:t>
      </w:r>
      <w:r>
        <w:t xml:space="preserve"> </w:t>
      </w:r>
      <w:r>
        <w:t xml:space="preserve">the species’ ability to use all available habitat is affected by</w:t>
      </w:r>
      <w:r>
        <w:t xml:space="preserve"> </w:t>
      </w:r>
      <w:r>
        <w:t xml:space="preserve">dispersal, which habitat amount alone does not represent.</w:t>
      </w:r>
    </w:p>
    <w:p>
      <w:pPr>
        <w:pStyle w:val="BodyText"/>
      </w:pPr>
      <w:r>
        <w:t xml:space="preserve">More favourable abiotic conditions can have unexpected negative impacts</w:t>
      </w:r>
      <w:r>
        <w:t xml:space="preserve"> </w:t>
      </w:r>
      <w:r>
        <w:t xml:space="preserve">on specialists if their habitats are negatively affected. We described</w:t>
      </w:r>
      <w:r>
        <w:t xml:space="preserve"> </w:t>
      </w:r>
      <w:r>
        <w:t xml:space="preserve">this phenomenon as the effect of environmental response correlation</w:t>
      </w:r>
      <w:r>
        <w:t xml:space="preserve"> </w:t>
      </w:r>
      <w:r>
        <w:t xml:space="preserve">between trophic levels (see</w:t>
      </w:r>
      <w:r>
        <w:t xml:space="preserve"> </w:t>
      </w:r>
      <w:r>
        <w:rPr>
          <w:i/>
        </w:rPr>
        <w:t xml:space="preserve">Key concepts</w:t>
      </w:r>
      <w:r>
        <w:t xml:space="preserve"> </w:t>
      </w:r>
      <w:r>
        <w:t xml:space="preserve">section). It is a</w:t>
      </w:r>
      <w:r>
        <w:t xml:space="preserve"> </w:t>
      </w:r>
      <w:r>
        <w:t xml:space="preserve">concept unique to process-based approaches that cannot be observed</w:t>
      </w:r>
      <w:r>
        <w:t xml:space="preserve"> </w:t>
      </w:r>
      <w:r>
        <w:t xml:space="preserve">directly using a correlative SDM approach as it originates from the</w:t>
      </w:r>
      <w:r>
        <w:t xml:space="preserve"> </w:t>
      </w:r>
      <w:r>
        <w:t xml:space="preserve">joint effects of species-specific environmental performance and of</w:t>
      </w:r>
      <w:r>
        <w:t xml:space="preserve"> </w:t>
      </w:r>
      <w:r>
        <w:t xml:space="preserve">biotic interactions. Although we have not been able to measure it</w:t>
      </w:r>
      <w:r>
        <w:t xml:space="preserve"> </w:t>
      </w:r>
      <w:r>
        <w:t xml:space="preserve">directly with the Bicknell’s Thrush case, we observed an important</w:t>
      </w:r>
      <w:r>
        <w:t xml:space="preserve"> </w:t>
      </w:r>
      <w:r>
        <w:t xml:space="preserve">contrast between its response to climate-only change and to</w:t>
      </w:r>
      <w:r>
        <w:t xml:space="preserve"> </w:t>
      </w:r>
      <w:r>
        <w:t xml:space="preserve">climate-induced forest change: the habitat amount increased in the first</w:t>
      </w:r>
      <w:r>
        <w:t xml:space="preserve"> </w:t>
      </w:r>
      <w:r>
        <w:t xml:space="preserve">scenario and declined in the second. We showed that regionally more</w:t>
      </w:r>
      <w:r>
        <w:t xml:space="preserve"> </w:t>
      </w:r>
      <w:r>
        <w:t xml:space="preserve">favourable climatic conditions to the Bicknell’s Thrush may have, even</w:t>
      </w:r>
      <w:r>
        <w:t xml:space="preserve"> </w:t>
      </w:r>
      <w:r>
        <w:t xml:space="preserve">if only temporarily due to colonization or extinction lags, the opposite</w:t>
      </w:r>
      <w:r>
        <w:t xml:space="preserve"> </w:t>
      </w:r>
      <w:r>
        <w:t xml:space="preserve">effect on its habitat. Therefore, the resulting distribution dynamics</w:t>
      </w:r>
      <w:r>
        <w:t xml:space="preserve"> </w:t>
      </w:r>
      <w:r>
        <w:t xml:space="preserve">from the interplay between trophic levels are complex to predict.</w:t>
      </w:r>
      <w:r>
        <w:t xml:space="preserve"> </w:t>
      </w:r>
      <w:r>
        <w:t xml:space="preserve">Counterintuitive dynamics can arise from species’ environmental</w:t>
      </w:r>
      <w:r>
        <w:t xml:space="preserve"> </w:t>
      </w:r>
      <w:r>
        <w:t xml:space="preserve">correlation. Indeed, the Bicknell’s thrush example illustrates the</w:t>
      </w:r>
      <w:r>
        <w:t xml:space="preserve"> </w:t>
      </w:r>
      <w:r>
        <w:t xml:space="preserve">necessity of documenting the response between trophic levels to a</w:t>
      </w:r>
      <w:r>
        <w:t xml:space="preserve"> </w:t>
      </w:r>
      <w:r>
        <w:t xml:space="preserve">rapidly changing environment as they can produce non-equilibrium</w:t>
      </w:r>
      <w:r>
        <w:t xml:space="preserve"> </w:t>
      </w:r>
      <w:r>
        <w:t xml:space="preserve">dynamics when considered together. It is when the lower trophic level</w:t>
      </w:r>
      <w:r>
        <w:t xml:space="preserve"> </w:t>
      </w:r>
      <w:r>
        <w:t xml:space="preserve">affects the specialist’s colonization and extinction rates</w:t>
      </w:r>
      <w:r>
        <w:t xml:space="preserve"> </w:t>
      </w:r>
      <w:r>
        <w:t xml:space="preserve">asymmetrically that non-equilibrium distribution dynamics are observed.</w:t>
      </w:r>
      <w:r>
        <w:t xml:space="preserve"> </w:t>
      </w:r>
      <w:r>
        <w:t xml:space="preserve">Because metapopulation models can incorporate such dynamics on</w:t>
      </w:r>
      <w:r>
        <w:t xml:space="preserve"> </w:t>
      </w:r>
      <w:r>
        <w:t xml:space="preserve">specialists’ population dynamics, the resulting projections may be of</w:t>
      </w:r>
      <w:r>
        <w:t xml:space="preserve"> </w:t>
      </w:r>
      <w:r>
        <w:t xml:space="preserve">greater realism.</w:t>
      </w:r>
    </w:p>
    <w:bookmarkStart w:id="66" w:name="limitations-of-the-current-approach"/>
    <w:p>
      <w:pPr>
        <w:pStyle w:val="Heading2"/>
      </w:pPr>
      <w:r>
        <w:t xml:space="preserve">Limitations of the current</w:t>
      </w:r>
      <w:r>
        <w:t xml:space="preserve"> </w:t>
      </w:r>
      <w:r>
        <w:t xml:space="preserve">approach</w:t>
      </w:r>
    </w:p>
    <w:bookmarkEnd w:id="66"/>
    <w:p>
      <w:pPr>
        <w:pStyle w:val="FirstParagraph"/>
      </w:pPr>
      <w:r>
        <w:t xml:space="preserve">Metapopulation models require few parameters making them relatively easy</w:t>
      </w:r>
      <w:r>
        <w:t xml:space="preserve"> </w:t>
      </w:r>
      <w:r>
        <w:t xml:space="preserve">to parameterize. Such models have been calibrated for mammals and trees</w:t>
      </w:r>
      <w:r>
        <w:t xml:space="preserve"> </w:t>
      </w:r>
      <w:r>
        <w:t xml:space="preserve">(Talluto et al.</w:t>
      </w:r>
      <w:r>
        <w:t xml:space="preserve"> </w:t>
      </w:r>
      <w:hyperlink w:anchor="ref-talluto_extinction_2017">
        <w:r>
          <w:rPr>
            <w:rStyle w:val="Hyperlink"/>
          </w:rPr>
          <w:t xml:space="preserve">2017</w:t>
        </w:r>
      </w:hyperlink>
      <w:r>
        <w:t xml:space="preserve">,</w:t>
      </w:r>
      <w:r>
        <w:t xml:space="preserve"> </w:t>
      </w:r>
      <w:r>
        <w:t xml:space="preserve">Vissault et al.</w:t>
      </w:r>
      <w:r>
        <w:t xml:space="preserve"> </w:t>
      </w:r>
      <w:hyperlink w:anchor="ref-vissault_slow_2020">
        <w:r>
          <w:rPr>
            <w:rStyle w:val="Hyperlink"/>
          </w:rPr>
          <w:t xml:space="preserve">2020</w:t>
        </w:r>
      </w:hyperlink>
      <w:r>
        <w:t xml:space="preserve">,</w:t>
      </w:r>
      <w:r>
        <w:t xml:space="preserve"> </w:t>
      </w:r>
      <w:r>
        <w:t xml:space="preserve">Fordham et al.</w:t>
      </w:r>
      <w:r>
        <w:t xml:space="preserve"> </w:t>
      </w:r>
      <w:hyperlink w:anchor="ref-fordham_adapted_2013">
        <w:r>
          <w:rPr>
            <w:rStyle w:val="Hyperlink"/>
          </w:rPr>
          <w:t xml:space="preserve">2013</w:t>
        </w:r>
      </w:hyperlink>
      <w:r>
        <w:t xml:space="preserve">) and</w:t>
      </w:r>
      <w:r>
        <w:t xml:space="preserve"> </w:t>
      </w:r>
      <w:r>
        <w:t xml:space="preserve">can also be for birds although the dispersal component may be</w:t>
      </w:r>
      <w:r>
        <w:t xml:space="preserve"> </w:t>
      </w:r>
      <w:r>
        <w:t xml:space="preserve">challenging to evaluate (Van Houtan et al.</w:t>
      </w:r>
      <w:r>
        <w:t xml:space="preserve"> </w:t>
      </w:r>
      <w:hyperlink w:anchor="ref-van_houtan_dispersal_2007">
        <w:r>
          <w:rPr>
            <w:rStyle w:val="Hyperlink"/>
          </w:rPr>
          <w:t xml:space="preserve">2007</w:t>
        </w:r>
      </w:hyperlink>
      <w:r>
        <w:t xml:space="preserve">, Studds et al.</w:t>
      </w:r>
      <w:r>
        <w:t xml:space="preserve"> </w:t>
      </w:r>
      <w:hyperlink w:anchor="ref-studds_stable-hydrogen_2012">
        <w:r>
          <w:rPr>
            <w:rStyle w:val="Hyperlink"/>
          </w:rPr>
          <w:t xml:space="preserve">2012</w:t>
        </w:r>
      </w:hyperlink>
      <w:r>
        <w:t xml:space="preserve">). Even in the</w:t>
      </w:r>
      <w:r>
        <w:t xml:space="preserve"> </w:t>
      </w:r>
      <w:r>
        <w:t xml:space="preserve">absence of a calibrated model, the metapopulation approach offers tools</w:t>
      </w:r>
      <w:r>
        <w:t xml:space="preserve"> </w:t>
      </w:r>
      <w:r>
        <w:t xml:space="preserve">to interpret projections outputs from correlative SDMs. We showed that</w:t>
      </w:r>
      <w:r>
        <w:t xml:space="preserve"> </w:t>
      </w:r>
      <w:r>
        <w:t xml:space="preserve">different aspects of the landscape’s structure could easily be described</w:t>
      </w:r>
      <w:r>
        <w:t xml:space="preserve"> </w:t>
      </w:r>
      <w:r>
        <w:t xml:space="preserve">and studied. An integrated interpretation of distribution changes can be</w:t>
      </w:r>
      <w:r>
        <w:t xml:space="preserve"> </w:t>
      </w:r>
      <w:r>
        <w:t xml:space="preserve">gained from scenarios of dispersal and extinction. Such scenarios can</w:t>
      </w:r>
      <w:r>
        <w:t xml:space="preserve"> </w:t>
      </w:r>
      <w:r>
        <w:t xml:space="preserve">then be used to evaluate species persistence.</w:t>
      </w:r>
    </w:p>
    <w:p>
      <w:pPr>
        <w:pStyle w:val="BodyText"/>
      </w:pPr>
      <w:r>
        <w:t xml:space="preserve">Several other factors could also impact the system’s response to climate</w:t>
      </w:r>
      <w:r>
        <w:t xml:space="preserve"> </w:t>
      </w:r>
      <w:r>
        <w:t xml:space="preserve">warming. The model described here is best suited for habitat specialists</w:t>
      </w:r>
      <w:r>
        <w:t xml:space="preserve"> </w:t>
      </w:r>
      <w:r>
        <w:t xml:space="preserve">whose presence depends on the prior establishment of another species</w:t>
      </w:r>
      <w:r>
        <w:t xml:space="preserve"> </w:t>
      </w:r>
      <w:r>
        <w:t xml:space="preserve">that they do not impact, but it could also be generalized to other types</w:t>
      </w:r>
      <w:r>
        <w:t xml:space="preserve"> </w:t>
      </w:r>
      <w:r>
        <w:t xml:space="preserve">of interactions (see Gravel et al.</w:t>
      </w:r>
      <w:r>
        <w:t xml:space="preserve"> </w:t>
      </w:r>
      <w:hyperlink w:anchor="ref-gravel_trophic_2011">
        <w:r>
          <w:rPr>
            <w:rStyle w:val="Hyperlink"/>
          </w:rPr>
          <w:t xml:space="preserve">2011</w:t>
        </w:r>
      </w:hyperlink>
      <w:r>
        <w:t xml:space="preserve"> </w:t>
      </w:r>
      <w:r>
        <w:t xml:space="preserve">for an example of a</w:t>
      </w:r>
      <w:r>
        <w:t xml:space="preserve"> </w:t>
      </w:r>
      <w:r>
        <w:t xml:space="preserve">very general model). The concepts developed in this study are more</w:t>
      </w:r>
      <w:r>
        <w:t xml:space="preserve"> </w:t>
      </w:r>
      <w:r>
        <w:t xml:space="preserve">general than the specialist-habitat context in which they are presented</w:t>
      </w:r>
      <w:r>
        <w:t xml:space="preserve"> </w:t>
      </w:r>
      <w:r>
        <w:t xml:space="preserve">and can apply to any bottom-up system. Positive and negative effects of</w:t>
      </w:r>
      <w:r>
        <w:t xml:space="preserve"> </w:t>
      </w:r>
      <w:r>
        <w:t xml:space="preserve">the specialist on its habitat could influence the system’s response to</w:t>
      </w:r>
      <w:r>
        <w:t xml:space="preserve"> </w:t>
      </w:r>
      <w:r>
        <w:t xml:space="preserve">climate change differently. For example, habitat (i.e., resource)</w:t>
      </w:r>
      <w:r>
        <w:t xml:space="preserve"> </w:t>
      </w:r>
      <w:r>
        <w:t xml:space="preserve">removal by the specialist may reduce competition of habitat types and</w:t>
      </w:r>
      <w:r>
        <w:t xml:space="preserve"> </w:t>
      </w:r>
      <w:r>
        <w:t xml:space="preserve">decrease response lag, accelerating the specialist’s decline at the</w:t>
      </w:r>
      <w:r>
        <w:t xml:space="preserve"> </w:t>
      </w:r>
      <w:r>
        <w:t xml:space="preserve">scale of the landscape (Vissault et al.</w:t>
      </w:r>
      <w:r>
        <w:t xml:space="preserve"> </w:t>
      </w:r>
      <w:hyperlink w:anchor="ref-vissault_slow_2020">
        <w:r>
          <w:rPr>
            <w:rStyle w:val="Hyperlink"/>
          </w:rPr>
          <w:t xml:space="preserve">2020</w:t>
        </w:r>
      </w:hyperlink>
      <w:r>
        <w:t xml:space="preserve">). Prolonged occupancy</w:t>
      </w:r>
      <w:r>
        <w:t xml:space="preserve"> </w:t>
      </w:r>
      <w:r>
        <w:t xml:space="preserve">of the habitat by the specialist may, on the other hand, increase</w:t>
      </w:r>
      <w:r>
        <w:t xml:space="preserve"> </w:t>
      </w:r>
      <w:r>
        <w:t xml:space="preserve">habitat mismatch and support source-sink dynamics. In addition to biotic</w:t>
      </w:r>
      <w:r>
        <w:t xml:space="preserve"> </w:t>
      </w:r>
      <w:r>
        <w:t xml:space="preserve">interactions, metapopulation dynamics at the landscape level could be</w:t>
      </w:r>
      <w:r>
        <w:t xml:space="preserve"> </w:t>
      </w:r>
      <w:r>
        <w:t xml:space="preserve">affected by the interaction of climate change and natural disturbances.</w:t>
      </w:r>
      <w:r>
        <w:t xml:space="preserve"> </w:t>
      </w:r>
      <w:r>
        <w:t xml:space="preserve">For instance, wildfires and insect outbreak regimes are expected to be</w:t>
      </w:r>
      <w:r>
        <w:t xml:space="preserve"> </w:t>
      </w:r>
      <w:r>
        <w:t xml:space="preserve">strongly altered under climate change (Boulanger and Pascual Puigdevall</w:t>
      </w:r>
      <w:r>
        <w:t xml:space="preserve"> </w:t>
      </w:r>
      <w:hyperlink w:anchor="ref-boulanger_boreal_2021">
        <w:r>
          <w:rPr>
            <w:rStyle w:val="Hyperlink"/>
          </w:rPr>
          <w:t xml:space="preserve">2021</w:t>
        </w:r>
      </w:hyperlink>
      <w:r>
        <w:t xml:space="preserve">), and associated</w:t>
      </w:r>
      <w:r>
        <w:t xml:space="preserve"> </w:t>
      </w:r>
      <w:r>
        <w:t xml:space="preserve">biodiversity (see Tremblay et al.</w:t>
      </w:r>
      <w:r>
        <w:t xml:space="preserve"> </w:t>
      </w:r>
      <w:r>
        <w:t xml:space="preserve">(</w:t>
      </w:r>
      <w:hyperlink w:anchor="ref-tremblay_harvesting_2018">
        <w:r>
          <w:rPr>
            <w:rStyle w:val="Hyperlink"/>
          </w:rPr>
          <w:t xml:space="preserve">2018</w:t>
        </w:r>
      </w:hyperlink>
      <w:r>
        <w:t xml:space="preserve">) for a case</w:t>
      </w:r>
      <w:r>
        <w:t xml:space="preserve"> </w:t>
      </w:r>
      <w:r>
        <w:t xml:space="preserve">study). Both are important drivers of forest dynamics, and our results</w:t>
      </w:r>
      <w:r>
        <w:t xml:space="preserve"> </w:t>
      </w:r>
      <w:r>
        <w:t xml:space="preserve">show that modification in habitat distribution is associated with the</w:t>
      </w:r>
      <w:r>
        <w:t xml:space="preserve"> </w:t>
      </w:r>
      <w:r>
        <w:t xml:space="preserve">specialist response.</w:t>
      </w:r>
    </w:p>
    <w:p>
      <w:pPr>
        <w:pStyle w:val="BodyText"/>
      </w:pPr>
      <w:r>
        <w:t xml:space="preserve">We hope that biodiversity actors benefit from more accurate, yet</w:t>
      </w:r>
      <w:r>
        <w:t xml:space="preserve"> </w:t>
      </w:r>
      <w:r>
        <w:t xml:space="preserve">accessible methods to estimate distribution changes. Correlative SDMs</w:t>
      </w:r>
      <w:r>
        <w:t xml:space="preserve"> </w:t>
      </w:r>
      <w:r>
        <w:t xml:space="preserve">are most often used to project distribution changes, but metapopulation</w:t>
      </w:r>
      <w:r>
        <w:t xml:space="preserve"> </w:t>
      </w:r>
      <w:r>
        <w:t xml:space="preserve">models allow a more accurate estimation of colonization and extinction</w:t>
      </w:r>
      <w:r>
        <w:t xml:space="preserve"> </w:t>
      </w:r>
      <w:r>
        <w:t xml:space="preserve">rates with a multispecies perspective. Our estimation of the Bicknell’s</w:t>
      </w:r>
      <w:r>
        <w:t xml:space="preserve"> </w:t>
      </w:r>
      <w:r>
        <w:t xml:space="preserve">Thrush range projected that the biotic interactions will favour the</w:t>
      </w:r>
      <w:r>
        <w:t xml:space="preserve"> </w:t>
      </w:r>
      <w:r>
        <w:t xml:space="preserve">species’ persistence where it already occurs, but will limit its</w:t>
      </w:r>
      <w:r>
        <w:t xml:space="preserve"> </w:t>
      </w:r>
      <w:r>
        <w:t xml:space="preserve">progression further north where firs are not as abundant despite</w:t>
      </w:r>
      <w:r>
        <w:t xml:space="preserve"> </w:t>
      </w:r>
      <w:r>
        <w:t xml:space="preserve">increases in climate suitability. The resulting effect is likely to be</w:t>
      </w:r>
      <w:r>
        <w:t xml:space="preserve"> </w:t>
      </w:r>
      <w:r>
        <w:t xml:space="preserve">the regional contraction of the Bicknell’s Thrush range despite more</w:t>
      </w:r>
      <w:r>
        <w:t xml:space="preserve"> </w:t>
      </w:r>
      <w:r>
        <w:t xml:space="preserve">favourable climatic conditions. Our study highlights the importance of</w:t>
      </w:r>
      <w:r>
        <w:t xml:space="preserve"> </w:t>
      </w:r>
      <w:r>
        <w:t xml:space="preserve">demography, dispersal and biotic interactions on distribution change to</w:t>
      </w:r>
      <w:r>
        <w:t xml:space="preserve"> </w:t>
      </w:r>
      <w:r>
        <w:t xml:space="preserve">rapid environmental change and the importance of spatial structure on</w:t>
      </w:r>
      <w:r>
        <w:t xml:space="preserve"> </w:t>
      </w:r>
      <w:r>
        <w:t xml:space="preserve">the interpretation of projections.</w:t>
      </w:r>
    </w:p>
    <w:bookmarkEnd w:id="67"/>
    <w:bookmarkStart w:id="142" w:name="references"/>
    <w:p>
      <w:pPr>
        <w:pStyle w:val="Heading1"/>
      </w:pPr>
      <w:r>
        <w:t xml:space="preserve">References</w:t>
      </w:r>
    </w:p>
    <w:bookmarkStart w:id="68" w:name="refs"/>
    <w:bookmarkEnd w:id="68"/>
    <w:p>
      <w:pPr>
        <w:pStyle w:val="FirstParagraph"/>
      </w:pPr>
      <w:bookmarkStart w:id="69" w:name="ref-anderson_dynamics_2009"/>
      <w:bookmarkEnd w:id="69"/>
      <w:r>
        <w:t xml:space="preserve"> </w:t>
      </w:r>
      <w:r>
        <w:t xml:space="preserve">Anderson, B. J., H. R. Akçakaya, M. B. Ara’ujo, D. A. Fordham, E.</w:t>
      </w:r>
      <w:r>
        <w:t xml:space="preserve"> </w:t>
      </w:r>
      <w:r>
        <w:t xml:space="preserve">Martinez-Meyer, W. Thuiller, and B. W. Brook. 2009. Dynamics of range</w:t>
      </w:r>
      <w:r>
        <w:t xml:space="preserve"> </w:t>
      </w:r>
      <w:r>
        <w:t xml:space="preserve">margins for metapopulations under climate change. Proceedings of the</w:t>
      </w:r>
      <w:r>
        <w:t xml:space="preserve"> </w:t>
      </w:r>
      <w:r>
        <w:t xml:space="preserve">Royal Society B: Biological Sciences 276:1415–1420.</w:t>
      </w:r>
    </w:p>
    <w:p>
      <w:pPr>
        <w:pStyle w:val="BodyText"/>
      </w:pPr>
      <w:bookmarkStart w:id="70" w:name="ref-boulangeat_transient_2018"/>
      <w:bookmarkEnd w:id="70"/>
      <w:r>
        <w:t xml:space="preserve"> </w:t>
      </w:r>
      <w:r>
        <w:t xml:space="preserve">Boulangeat, I., J. C. Svenning, T. Daufresne, M. Leblond, and D. Gravel.</w:t>
      </w:r>
      <w:r>
        <w:t xml:space="preserve"> </w:t>
      </w:r>
      <w:r>
        <w:t xml:space="preserve">2018. The transient response of ecosystems to climate change is</w:t>
      </w:r>
      <w:r>
        <w:t xml:space="preserve"> </w:t>
      </w:r>
      <w:r>
        <w:t xml:space="preserve">amplified by trophic interactions. Oikos 127:1822–1833.</w:t>
      </w:r>
    </w:p>
    <w:p>
      <w:pPr>
        <w:pStyle w:val="BodyText"/>
      </w:pPr>
      <w:bookmarkStart w:id="71" w:name="ref-boulanger_boreal_2021"/>
      <w:bookmarkEnd w:id="71"/>
      <w:r>
        <w:t xml:space="preserve"> </w:t>
      </w:r>
      <w:r>
        <w:t xml:space="preserve">Boulanger, Y., and J. Pascual Puigdevall. 2021. Boreal forests will be</w:t>
      </w:r>
      <w:r>
        <w:t xml:space="preserve"> </w:t>
      </w:r>
      <w:r>
        <w:t xml:space="preserve">more severely affected by projected anthropogenic climate forcing than</w:t>
      </w:r>
      <w:r>
        <w:t xml:space="preserve"> </w:t>
      </w:r>
      <w:r>
        <w:t xml:space="preserve">mixedwood and northern hardwood forests in eastern Canada. Landscape</w:t>
      </w:r>
      <w:r>
        <w:t xml:space="preserve"> </w:t>
      </w:r>
      <w:r>
        <w:t xml:space="preserve">Ecology 36:1725–1740.</w:t>
      </w:r>
    </w:p>
    <w:p>
      <w:pPr>
        <w:pStyle w:val="BodyText"/>
      </w:pPr>
      <w:bookmarkStart w:id="72" w:name="ref-briscoe_can_2021"/>
      <w:bookmarkEnd w:id="72"/>
      <w:r>
        <w:t xml:space="preserve"> </w:t>
      </w:r>
      <w:r>
        <w:t xml:space="preserve">Briscoe, N. J., D. Zurell, J. Elith, C. König, G. Fandos, A. Malchow, M.</w:t>
      </w:r>
      <w:r>
        <w:t xml:space="preserve"> </w:t>
      </w:r>
      <w:r>
        <w:t xml:space="preserve">K’ery, H. Schmid, and G. GuillerNAaNAArroi. 2021. Can dynamic</w:t>
      </w:r>
      <w:r>
        <w:t xml:space="preserve"> </w:t>
      </w:r>
      <w:r>
        <w:t xml:space="preserve">occupancy models improve predictions of species’ range dynamics? A test</w:t>
      </w:r>
      <w:r>
        <w:t xml:space="preserve"> </w:t>
      </w:r>
      <w:r>
        <w:t xml:space="preserve">using Swiss birds. Global Change Biology 27:4269–4282.</w:t>
      </w:r>
    </w:p>
    <w:p>
      <w:pPr>
        <w:pStyle w:val="BodyText"/>
      </w:pPr>
      <w:bookmarkStart w:id="73" w:name="ref-cadieux_spatially_2019"/>
      <w:bookmarkEnd w:id="73"/>
      <w:r>
        <w:t xml:space="preserve"> </w:t>
      </w:r>
      <w:r>
        <w:t xml:space="preserve">Cadieux, P., Y. Boulanger, D. Cyr, A. R. Taylor, D. T. Price, and J. A.</w:t>
      </w:r>
      <w:r>
        <w:t xml:space="preserve"> </w:t>
      </w:r>
      <w:r>
        <w:t xml:space="preserve">Tremblay. 2019. Spatially explicit climate change projections for the</w:t>
      </w:r>
      <w:r>
        <w:t xml:space="preserve"> </w:t>
      </w:r>
      <w:r>
        <w:t xml:space="preserve">recovery planning of threatened species: The Bicknell’s Thrush (Catharus</w:t>
      </w:r>
      <w:r>
        <w:t xml:space="preserve"> </w:t>
      </w:r>
      <w:r>
        <w:t xml:space="preserve">Bicknelli) as a case study. Global Ecology and Conservation 17:e00530.</w:t>
      </w:r>
    </w:p>
    <w:p>
      <w:pPr>
        <w:pStyle w:val="BodyText"/>
      </w:pPr>
      <w:bookmarkStart w:id="74" w:name="ref-chen_rapid_2011"/>
      <w:bookmarkEnd w:id="74"/>
      <w:r>
        <w:t xml:space="preserve"> </w:t>
      </w:r>
      <w:r>
        <w:t xml:space="preserve">Chen, I. C., J. K. Hill, R. Ohlemüller, D. B. Roy, and C. D. Thomas.</w:t>
      </w:r>
      <w:r>
        <w:t xml:space="preserve"> </w:t>
      </w:r>
      <w:r>
        <w:t xml:space="preserve">2011. Rapid range shifts of species associated with high levels of</w:t>
      </w:r>
      <w:r>
        <w:t xml:space="preserve"> </w:t>
      </w:r>
      <w:r>
        <w:t xml:space="preserve">climate warming. Science 333:1024–1026.</w:t>
      </w:r>
    </w:p>
    <w:p>
      <w:pPr>
        <w:pStyle w:val="BodyText"/>
      </w:pPr>
      <w:bookmarkStart w:id="75" w:name="ref-collins_spatial_2007"/>
      <w:bookmarkEnd w:id="75"/>
      <w:r>
        <w:t xml:space="preserve"> </w:t>
      </w:r>
      <w:r>
        <w:t xml:space="preserve">Collins, B. B. 2007. Spatial Analysis of Home Range, Movement Patterns,</w:t>
      </w:r>
      <w:r>
        <w:t xml:space="preserve"> </w:t>
      </w:r>
      <w:r>
        <w:t xml:space="preserve">and Behavioral Ecology of Bicknell’s Thrush, Catharus bicknelli, in</w:t>
      </w:r>
      <w:r>
        <w:t xml:space="preserve"> </w:t>
      </w:r>
      <w:r>
        <w:t xml:space="preserve">Vermont. Master’s thesis, Antioch University, Antioch University, Keene</w:t>
      </w:r>
      <w:r>
        <w:t xml:space="preserve"> </w:t>
      </w:r>
      <w:r>
        <w:t xml:space="preserve">(New Hampshire).</w:t>
      </w:r>
    </w:p>
    <w:p>
      <w:pPr>
        <w:pStyle w:val="BodyText"/>
      </w:pPr>
      <w:bookmarkStart w:id="76" w:name="ref-cosewic_cosewic_2009"/>
      <w:bookmarkEnd w:id="76"/>
      <w:r>
        <w:t xml:space="preserve"> </w:t>
      </w:r>
      <w:r>
        <w:t xml:space="preserve">COSEWIC. 2009. COSEWIC assessment and status report on the Bicknell’s</w:t>
      </w:r>
      <w:r>
        <w:t xml:space="preserve"> </w:t>
      </w:r>
      <w:r>
        <w:t xml:space="preserve">Thrush (Catharus bicknelli) in Canada. Pages 46–46. COSEWIC, Ottawa.</w:t>
      </w:r>
    </w:p>
    <w:p>
      <w:pPr>
        <w:pStyle w:val="BodyText"/>
      </w:pPr>
      <w:bookmarkStart w:id="77" w:name="ref-fahrig_rethinking_2013"/>
      <w:bookmarkEnd w:id="77"/>
      <w:r>
        <w:t xml:space="preserve"> </w:t>
      </w:r>
      <w:r>
        <w:t xml:space="preserve">Fahrig, L. 2013. Rethinking patch size and isolation effects: The</w:t>
      </w:r>
      <w:r>
        <w:t xml:space="preserve"> </w:t>
      </w:r>
      <w:r>
        <w:t xml:space="preserve">habitat amount hypothesis. Journal of Biogeography 40:1649–1663.</w:t>
      </w:r>
    </w:p>
    <w:p>
      <w:pPr>
        <w:pStyle w:val="BodyText"/>
      </w:pPr>
      <w:bookmarkStart w:id="78" w:name="ref-fordham_adapted_2013"/>
      <w:bookmarkEnd w:id="78"/>
      <w:r>
        <w:t xml:space="preserve"> </w:t>
      </w:r>
      <w:r>
        <w:t xml:space="preserve">Fordham, D. A., H. R. Akçakaya, B. W. Brook, A. Rodr’ıguez, P. C.</w:t>
      </w:r>
      <w:r>
        <w:t xml:space="preserve"> </w:t>
      </w:r>
      <w:r>
        <w:t xml:space="preserve">Alves, E. Civantos, M. Triviño, M. J. Watts, and M. B. Ara’ujo. 2013.</w:t>
      </w:r>
      <w:r>
        <w:t xml:space="preserve"> </w:t>
      </w:r>
      <w:r>
        <w:t xml:space="preserve">Adapted conservation measures are required to save the Iberian lynx in a</w:t>
      </w:r>
      <w:r>
        <w:t xml:space="preserve"> </w:t>
      </w:r>
      <w:r>
        <w:t xml:space="preserve">changing climate. Nature Climate Change 3:899–903.</w:t>
      </w:r>
    </w:p>
    <w:p>
      <w:pPr>
        <w:pStyle w:val="BodyText"/>
      </w:pPr>
      <w:bookmarkStart w:id="79" w:name="ref-franklin_mapping_2009"/>
      <w:bookmarkEnd w:id="79"/>
      <w:r>
        <w:t xml:space="preserve"> </w:t>
      </w:r>
      <w:r>
        <w:t xml:space="preserve">Franklin, J., and J. A. Miller. 2009. Mapping species distributions:</w:t>
      </w:r>
      <w:r>
        <w:t xml:space="preserve"> </w:t>
      </w:r>
      <w:r>
        <w:t xml:space="preserve">Spatial inference and prediction. Cambridge University Press, Cambridge</w:t>
      </w:r>
      <w:r>
        <w:t xml:space="preserve"> </w:t>
      </w:r>
      <w:r>
        <w:t xml:space="preserve">; New York.</w:t>
      </w:r>
    </w:p>
    <w:p>
      <w:pPr>
        <w:pStyle w:val="BodyText"/>
      </w:pPr>
      <w:bookmarkStart w:id="80" w:name="ref-godsoe_integrating_2017"/>
      <w:bookmarkEnd w:id="80"/>
      <w:r>
        <w:t xml:space="preserve"> </w:t>
      </w:r>
      <w:r>
        <w:t xml:space="preserve">Godsoe, W., J. Jankowski, R. D. Holt, and D. Gravel. 2017. Integrating</w:t>
      </w:r>
      <w:r>
        <w:t xml:space="preserve"> </w:t>
      </w:r>
      <w:r>
        <w:t xml:space="preserve">Biogeography with Contemporary Niche Theory. Trends in Ecology and</w:t>
      </w:r>
      <w:r>
        <w:t xml:space="preserve"> </w:t>
      </w:r>
      <w:r>
        <w:t xml:space="preserve">Evolution 32:488–499.</w:t>
      </w:r>
    </w:p>
    <w:p>
      <w:pPr>
        <w:pStyle w:val="BodyText"/>
      </w:pPr>
      <w:bookmarkStart w:id="81" w:name="ref-gravel_trophic_2011"/>
      <w:bookmarkEnd w:id="81"/>
      <w:r>
        <w:t xml:space="preserve"> </w:t>
      </w:r>
      <w:r>
        <w:t xml:space="preserve">Gravel, D., F. Massol, E. Canard, D. Mouillot, and N. Mouquet. 2011.</w:t>
      </w:r>
      <w:r>
        <w:t xml:space="preserve"> </w:t>
      </w:r>
      <w:r>
        <w:t xml:space="preserve">Trophic theory of island biogeography. Ecology Letters 14:1010–1016.</w:t>
      </w:r>
    </w:p>
    <w:p>
      <w:pPr>
        <w:pStyle w:val="BodyText"/>
      </w:pPr>
      <w:bookmarkStart w:id="82" w:name="ref-guisan_predicting_2005"/>
      <w:bookmarkEnd w:id="82"/>
      <w:r>
        <w:t xml:space="preserve"> </w:t>
      </w:r>
      <w:r>
        <w:t xml:space="preserve">Guisan, A., and W. Thuiller. 2005. Predicting species distribution:</w:t>
      </w:r>
      <w:r>
        <w:t xml:space="preserve"> </w:t>
      </w:r>
      <w:r>
        <w:t xml:space="preserve">Offering more than simple habitat models. Ecology Letters 8:993–1009.</w:t>
      </w:r>
    </w:p>
    <w:p>
      <w:pPr>
        <w:pStyle w:val="BodyText"/>
      </w:pPr>
      <w:bookmarkStart w:id="83" w:name="ref-guisan_predicting_2013"/>
      <w:bookmarkEnd w:id="83"/>
      <w:r>
        <w:t xml:space="preserve"> </w:t>
      </w:r>
      <w:r>
        <w:t xml:space="preserve">Guisan, A., R. Tingley, J. B. Baumgartner, I. NaujokaitisNANALewis, P.</w:t>
      </w:r>
      <w:r>
        <w:t xml:space="preserve"> </w:t>
      </w:r>
      <w:r>
        <w:t xml:space="preserve">R. Sutcliffe, A. I. T. Tulloch, T. J. Regan, L. Brotons, E.</w:t>
      </w:r>
      <w:r>
        <w:t xml:space="preserve"> </w:t>
      </w:r>
      <w:r>
        <w:t xml:space="preserve">McDonalNAdNAMadden, C. MantyNAkaNAPringle, T. G. Martin, J. R. Rhodes,</w:t>
      </w:r>
      <w:r>
        <w:t xml:space="preserve"> </w:t>
      </w:r>
      <w:r>
        <w:t xml:space="preserve">R. Maggini, S. A. Setterfield, J. Elith, M. W. Schwartz, B. A. Wintle,</w:t>
      </w:r>
      <w:r>
        <w:t xml:space="preserve"> </w:t>
      </w:r>
      <w:r>
        <w:t xml:space="preserve">O. Broennimann, M. Austin, S. Ferrier, M. R. Kearney, H. P. Possingham,</w:t>
      </w:r>
      <w:r>
        <w:t xml:space="preserve"> </w:t>
      </w:r>
      <w:r>
        <w:t xml:space="preserve">and Y. M. Buck. 2013. Predicting species distributions for conservation</w:t>
      </w:r>
      <w:r>
        <w:t xml:space="preserve"> </w:t>
      </w:r>
      <w:r>
        <w:t xml:space="preserve">decisions. Ecology Letters 16:1424–1435.</w:t>
      </w:r>
    </w:p>
    <w:p>
      <w:pPr>
        <w:pStyle w:val="BodyText"/>
      </w:pPr>
      <w:bookmarkStart w:id="84" w:name="ref-hanski_metapopulation_1998"/>
      <w:bookmarkEnd w:id="84"/>
      <w:r>
        <w:t xml:space="preserve"> </w:t>
      </w:r>
      <w:r>
        <w:t xml:space="preserve">Hanski, I. 1998. Metapopulation dynamics. Nature 396:41–49.</w:t>
      </w:r>
    </w:p>
    <w:p>
      <w:pPr>
        <w:pStyle w:val="BodyText"/>
      </w:pPr>
      <w:bookmarkStart w:id="85" w:name="ref-hanski_metapopulation_1999"/>
      <w:bookmarkEnd w:id="85"/>
      <w:r>
        <w:t xml:space="preserve"> </w:t>
      </w:r>
      <w:r>
        <w:t xml:space="preserve">Hanski, I. 1999a. Metapopulation ecology. First editions. Oxford</w:t>
      </w:r>
      <w:r>
        <w:t xml:space="preserve"> </w:t>
      </w:r>
      <w:r>
        <w:t xml:space="preserve">university press, Oxford.</w:t>
      </w:r>
    </w:p>
    <w:p>
      <w:pPr>
        <w:pStyle w:val="BodyText"/>
      </w:pPr>
      <w:bookmarkStart w:id="86" w:name="ref-hanski_habitat_1999"/>
      <w:bookmarkEnd w:id="86"/>
      <w:r>
        <w:t xml:space="preserve"> </w:t>
      </w:r>
      <w:r>
        <w:t xml:space="preserve">Hanski, I. 1999b. Habitat Connectivity , Habitat Continuity , and</w:t>
      </w:r>
      <w:r>
        <w:t xml:space="preserve"> </w:t>
      </w:r>
      <w:r>
        <w:t xml:space="preserve">Metapopulations in Dynamic Landscapes. Oikos, Nordic Society</w:t>
      </w:r>
      <w:r>
        <w:t xml:space="preserve"> </w:t>
      </w:r>
      <w:r>
        <w:t xml:space="preserve">87:209–219.</w:t>
      </w:r>
    </w:p>
    <w:p>
      <w:pPr>
        <w:pStyle w:val="BodyText"/>
      </w:pPr>
      <w:bookmarkStart w:id="87" w:name="ref-hanski_spatially_2001"/>
      <w:bookmarkEnd w:id="87"/>
      <w:r>
        <w:t xml:space="preserve"> </w:t>
      </w:r>
      <w:r>
        <w:t xml:space="preserve">Hanski, I. 2001. Spatially realistic theory of metapopulation ecology.</w:t>
      </w:r>
      <w:r>
        <w:t xml:space="preserve"> </w:t>
      </w:r>
      <w:r>
        <w:t xml:space="preserve">Naturwissenschaften 88:372–381.</w:t>
      </w:r>
    </w:p>
    <w:p>
      <w:pPr>
        <w:pStyle w:val="BodyText"/>
      </w:pPr>
      <w:bookmarkStart w:id="88" w:name="ref-hanski_practical_1994"/>
      <w:bookmarkEnd w:id="88"/>
      <w:r>
        <w:t xml:space="preserve"> </w:t>
      </w:r>
      <w:r>
        <w:t xml:space="preserve">Hanski, I. 1994. A Practical Model of Metapopulation Dynamics. The</w:t>
      </w:r>
      <w:r>
        <w:t xml:space="preserve"> </w:t>
      </w:r>
      <w:r>
        <w:t xml:space="preserve">Journal of Animal Ecology 63:151.</w:t>
      </w:r>
    </w:p>
    <w:p>
      <w:pPr>
        <w:pStyle w:val="BodyText"/>
      </w:pPr>
      <w:bookmarkStart w:id="89" w:name="ref-hanski_habitat_2015"/>
      <w:bookmarkEnd w:id="89"/>
      <w:r>
        <w:t xml:space="preserve"> </w:t>
      </w:r>
      <w:r>
        <w:t xml:space="preserve">Hanski, I. 2015. Habitat fragmentation and species richness. Journal of</w:t>
      </w:r>
      <w:r>
        <w:t xml:space="preserve"> </w:t>
      </w:r>
      <w:r>
        <w:t xml:space="preserve">Biogeography 42:989–993.</w:t>
      </w:r>
    </w:p>
    <w:p>
      <w:pPr>
        <w:pStyle w:val="BodyText"/>
      </w:pPr>
      <w:bookmarkStart w:id="90" w:name="ref-hanski_metapopulation_1994"/>
      <w:bookmarkEnd w:id="90"/>
      <w:r>
        <w:t xml:space="preserve"> </w:t>
      </w:r>
      <w:r>
        <w:t xml:space="preserve">Hanski, I., M. Kuussaari, and M. Nieminen. 1994. Metapopulation</w:t>
      </w:r>
      <w:r>
        <w:t xml:space="preserve"> </w:t>
      </w:r>
      <w:r>
        <w:t xml:space="preserve">Structure and Migration in the Butterfly Melitaea Cinxia. Ecology</w:t>
      </w:r>
      <w:r>
        <w:t xml:space="preserve"> </w:t>
      </w:r>
      <w:r>
        <w:t xml:space="preserve">75:747–762.</w:t>
      </w:r>
    </w:p>
    <w:p>
      <w:pPr>
        <w:pStyle w:val="BodyText"/>
      </w:pPr>
      <w:bookmarkStart w:id="91" w:name="ref-hanski_metapopulation_2000"/>
      <w:bookmarkEnd w:id="91"/>
      <w:r>
        <w:t xml:space="preserve"> </w:t>
      </w:r>
      <w:r>
        <w:t xml:space="preserve">Hanski, I., and O. Ovaskainen. 2000. The metapopulation capacity of a</w:t>
      </w:r>
      <w:r>
        <w:t xml:space="preserve"> </w:t>
      </w:r>
      <w:r>
        <w:t xml:space="preserve">fragmented landscape. Nature 404:755–758.</w:t>
      </w:r>
    </w:p>
    <w:p>
      <w:pPr>
        <w:pStyle w:val="BodyText"/>
      </w:pPr>
      <w:bookmarkStart w:id="92" w:name="ref-hanski_metapopulation_1997"/>
      <w:bookmarkEnd w:id="92"/>
      <w:r>
        <w:t xml:space="preserve"> </w:t>
      </w:r>
      <w:r>
        <w:t xml:space="preserve">Hanski, I., and D. Simberloff. 1997. The Metapopulation Approach, Its</w:t>
      </w:r>
      <w:r>
        <w:t xml:space="preserve"> </w:t>
      </w:r>
      <w:r>
        <w:t xml:space="preserve">History, Conceptual Domain, and Application to Conservation. Pages 5–26</w:t>
      </w:r>
      <w:r>
        <w:t xml:space="preserve"> </w:t>
      </w:r>
      <w:r>
        <w:rPr>
          <w:i/>
        </w:rPr>
        <w:t xml:space="preserve">in</w:t>
      </w:r>
      <w:r>
        <w:t xml:space="preserve"> </w:t>
      </w:r>
      <w:r>
        <w:t xml:space="preserve">I. Hanski and M. E. Gilpin, editors. Metapopulation Biology.</w:t>
      </w:r>
      <w:r>
        <w:t xml:space="preserve"> </w:t>
      </w:r>
      <w:r>
        <w:t xml:space="preserve">Academic Press, San Diego.</w:t>
      </w:r>
    </w:p>
    <w:p>
      <w:pPr>
        <w:pStyle w:val="BodyText"/>
      </w:pPr>
      <w:bookmarkStart w:id="93" w:name="ref-hausfather_emissions_2020"/>
      <w:bookmarkEnd w:id="93"/>
      <w:r>
        <w:t xml:space="preserve"> </w:t>
      </w:r>
      <w:r>
        <w:t xml:space="preserve">Hausfather, Z., and G. P. Peters. 2020. Emissions – the</w:t>
      </w:r>
      <w:r>
        <w:t xml:space="preserve"> </w:t>
      </w:r>
      <w:r>
        <w:t xml:space="preserve">“</w:t>
      </w:r>
      <w:r>
        <w:t xml:space="preserve">business as</w:t>
      </w:r>
      <w:r>
        <w:t xml:space="preserve"> </w:t>
      </w:r>
      <w:r>
        <w:t xml:space="preserve">usual</w:t>
      </w:r>
      <w:r>
        <w:t xml:space="preserve">”</w:t>
      </w:r>
      <w:r>
        <w:t xml:space="preserve"> </w:t>
      </w:r>
      <w:r>
        <w:t xml:space="preserve">story is misleading. Nature 577:618–620.</w:t>
      </w:r>
    </w:p>
    <w:p>
      <w:pPr>
        <w:pStyle w:val="BodyText"/>
      </w:pPr>
      <w:bookmarkStart w:id="94" w:name="ref-hefley_when_2017"/>
      <w:bookmarkEnd w:id="94"/>
      <w:r>
        <w:t xml:space="preserve"> </w:t>
      </w:r>
      <w:r>
        <w:t xml:space="preserve">Hefley, T. J., M. B. Hooten, R. E. Russell, D. P. Walsh, and J. A.</w:t>
      </w:r>
      <w:r>
        <w:t xml:space="preserve"> </w:t>
      </w:r>
      <w:r>
        <w:t xml:space="preserve">Powell. 2017. When mechanism matters: Bayesian forecasting using models</w:t>
      </w:r>
      <w:r>
        <w:t xml:space="preserve"> </w:t>
      </w:r>
      <w:r>
        <w:t xml:space="preserve">of ecological diffusion. Ecology Letters 20:640–650.</w:t>
      </w:r>
    </w:p>
    <w:p>
      <w:pPr>
        <w:pStyle w:val="BodyText"/>
      </w:pPr>
      <w:bookmarkStart w:id="95" w:name="ref-hollister_elevatr_2021"/>
      <w:bookmarkEnd w:id="95"/>
      <w:r>
        <w:t xml:space="preserve"> </w:t>
      </w:r>
      <w:r>
        <w:t xml:space="preserve">Hollister, J. W., A. L. Robitaille, M. W. Beck, MikeJohnson-NOAA, and T.</w:t>
      </w:r>
      <w:r>
        <w:t xml:space="preserve"> </w:t>
      </w:r>
      <w:r>
        <w:t xml:space="preserve">Shah. 2021, July. Elevatr: Access elevation data from various APIs.</w:t>
      </w:r>
      <w:r>
        <w:t xml:space="preserve"> </w:t>
      </w:r>
      <w:r>
        <w:t xml:space="preserve">Zenodo.</w:t>
      </w:r>
    </w:p>
    <w:p>
      <w:pPr>
        <w:pStyle w:val="BodyText"/>
      </w:pPr>
      <w:bookmarkStart w:id="96" w:name="ref-huang_using_2019"/>
      <w:bookmarkEnd w:id="96"/>
      <w:r>
        <w:t xml:space="preserve"> </w:t>
      </w:r>
      <w:r>
        <w:t xml:space="preserve">Huang, R., S. L. Pimm, and C. Giri. 2019. Using metapopulation theory</w:t>
      </w:r>
      <w:r>
        <w:t xml:space="preserve"> </w:t>
      </w:r>
      <w:r>
        <w:t xml:space="preserve">for practical conservation of mangrove endemic birds. Conservation</w:t>
      </w:r>
      <w:r>
        <w:t xml:space="preserve"> </w:t>
      </w:r>
      <w:r>
        <w:t xml:space="preserve">Biology 34:266–275.</w:t>
      </w:r>
    </w:p>
    <w:p>
      <w:pPr>
        <w:pStyle w:val="BodyText"/>
      </w:pPr>
      <w:bookmarkStart w:id="97" w:name="ref-hutchinson_concluding_1957"/>
      <w:bookmarkEnd w:id="97"/>
      <w:r>
        <w:t xml:space="preserve"> </w:t>
      </w:r>
      <w:r>
        <w:t xml:space="preserve">Hutchinson, G. E. 1957. Concluding remarks. Cold spring harbor symposia</w:t>
      </w:r>
      <w:r>
        <w:t xml:space="preserve"> </w:t>
      </w:r>
      <w:r>
        <w:t xml:space="preserve">on quantitative biology 22:415–427.</w:t>
      </w:r>
    </w:p>
    <w:p>
      <w:pPr>
        <w:pStyle w:val="BodyText"/>
      </w:pPr>
      <w:bookmarkStart w:id="98" w:name="ref-hutchinson_development_2009"/>
      <w:bookmarkEnd w:id="98"/>
      <w:r>
        <w:t xml:space="preserve"> </w:t>
      </w:r>
      <w:r>
        <w:t xml:space="preserve">Hutchinson, M. F., D. W. McKenney, K. Lawrence, J. H. Pedlar, R. F.</w:t>
      </w:r>
      <w:r>
        <w:t xml:space="preserve"> </w:t>
      </w:r>
      <w:r>
        <w:t xml:space="preserve">Hopkinson, E. Milewska, and P. Papadopol. 2009. Development and testing</w:t>
      </w:r>
      <w:r>
        <w:t xml:space="preserve"> </w:t>
      </w:r>
      <w:r>
        <w:t xml:space="preserve">of Canada-wide interpolated spatial models of daily minimum–maximum</w:t>
      </w:r>
      <w:r>
        <w:t xml:space="preserve"> </w:t>
      </w:r>
      <w:r>
        <w:t xml:space="preserve">temperature and precipitation for 1961–2003. Journal of Applied</w:t>
      </w:r>
      <w:r>
        <w:t xml:space="preserve"> </w:t>
      </w:r>
      <w:r>
        <w:t xml:space="preserve">Meteorology and Climatology 48:725–741.</w:t>
      </w:r>
    </w:p>
    <w:p>
      <w:pPr>
        <w:pStyle w:val="BodyText"/>
      </w:pPr>
      <w:bookmarkStart w:id="99" w:name="ref-iucn_iucn_2021"/>
      <w:bookmarkEnd w:id="99"/>
      <w:r>
        <w:t xml:space="preserve"> </w:t>
      </w:r>
      <w:r>
        <w:t xml:space="preserve">IUCN. 2021. The IUCN Red List of Threatened Species. Version 2021-3.</w:t>
      </w:r>
    </w:p>
    <w:p>
      <w:pPr>
        <w:pStyle w:val="BodyText"/>
      </w:pPr>
      <w:bookmarkStart w:id="100" w:name="ref-lamberson_effects_1993"/>
      <w:bookmarkEnd w:id="100"/>
      <w:r>
        <w:t xml:space="preserve"> </w:t>
      </w:r>
      <w:r>
        <w:t xml:space="preserve">Lamberson, R. H., R. McKelvey, B. R. Noon, and C. Voss. 1993. The</w:t>
      </w:r>
      <w:r>
        <w:t xml:space="preserve"> </w:t>
      </w:r>
      <w:r>
        <w:t xml:space="preserve">effects of varying dispersal capabilities on the population dynamics of</w:t>
      </w:r>
      <w:r>
        <w:t xml:space="preserve"> </w:t>
      </w:r>
      <w:r>
        <w:t xml:space="preserve">the Northern Spotted Owl. Conservation Biology 7:422–430.</w:t>
      </w:r>
    </w:p>
    <w:p>
      <w:pPr>
        <w:pStyle w:val="BodyText"/>
      </w:pPr>
      <w:bookmarkStart w:id="101" w:name="ref-le_squin_climateinduced_2021"/>
      <w:bookmarkEnd w:id="101"/>
      <w:r>
        <w:t xml:space="preserve"> </w:t>
      </w:r>
      <w:r>
        <w:t xml:space="preserve">Le Squin, A., I. Boulangeat, and D. Gravel. 2021. Climate‐induced</w:t>
      </w:r>
      <w:r>
        <w:t xml:space="preserve"> </w:t>
      </w:r>
      <w:r>
        <w:t xml:space="preserve">variation in the demography of 14 tree species is not sufficient to</w:t>
      </w:r>
      <w:r>
        <w:t xml:space="preserve"> </w:t>
      </w:r>
      <w:r>
        <w:t xml:space="preserve">explain their distribution in eastern North America. Global Ecology and</w:t>
      </w:r>
      <w:r>
        <w:t xml:space="preserve"> </w:t>
      </w:r>
      <w:r>
        <w:t xml:space="preserve">Biogeography 30:352–369.</w:t>
      </w:r>
    </w:p>
    <w:p>
      <w:pPr>
        <w:pStyle w:val="BodyText"/>
      </w:pPr>
      <w:bookmarkStart w:id="102" w:name="ref-levins_demographic_1969"/>
      <w:bookmarkEnd w:id="102"/>
      <w:r>
        <w:t xml:space="preserve"> </w:t>
      </w:r>
      <w:r>
        <w:t xml:space="preserve">Levins, R. 1969. Some demographic and genetic consequences of</w:t>
      </w:r>
      <w:r>
        <w:t xml:space="preserve"> </w:t>
      </w:r>
      <w:r>
        <w:t xml:space="preserve">environmental heterogeneity for biological control. Bulletin of the</w:t>
      </w:r>
      <w:r>
        <w:t xml:space="preserve"> </w:t>
      </w:r>
      <w:r>
        <w:t xml:space="preserve">Entomological Society of America 15:237–240.</w:t>
      </w:r>
    </w:p>
    <w:p>
      <w:pPr>
        <w:pStyle w:val="BodyText"/>
      </w:pPr>
      <w:bookmarkStart w:id="103" w:name="ref-levins_mathematical_1970"/>
      <w:bookmarkEnd w:id="103"/>
      <w:r>
        <w:t xml:space="preserve"> </w:t>
      </w:r>
      <w:r>
        <w:t xml:space="preserve">Levins, R. 1970. Some Mathematical Questions in Biology.</w:t>
      </w:r>
      <w:r>
        <w:t xml:space="preserve"> </w:t>
      </w:r>
      <w:r>
        <w:rPr>
          <w:i/>
        </w:rPr>
        <w:t xml:space="preserve">in</w:t>
      </w:r>
      <w:r>
        <w:t xml:space="preserve"> </w:t>
      </w:r>
      <w:r>
        <w:t xml:space="preserve">Some</w:t>
      </w:r>
      <w:r>
        <w:t xml:space="preserve"> </w:t>
      </w:r>
      <w:r>
        <w:t xml:space="preserve">Mathematical Questions in Biology.</w:t>
      </w:r>
    </w:p>
    <w:p>
      <w:pPr>
        <w:pStyle w:val="BodyText"/>
      </w:pPr>
      <w:bookmarkStart w:id="104" w:name="ref-macarthur_theory_1967"/>
      <w:bookmarkEnd w:id="104"/>
      <w:r>
        <w:t xml:space="preserve"> </w:t>
      </w:r>
      <w:r>
        <w:t xml:space="preserve">MacArthur, R. H., and E. Wilson. 1967. The theory of island</w:t>
      </w:r>
      <w:r>
        <w:t xml:space="preserve"> </w:t>
      </w:r>
      <w:r>
        <w:t xml:space="preserve">biogeography. Princeton University Press.</w:t>
      </w:r>
    </w:p>
    <w:p>
      <w:pPr>
        <w:pStyle w:val="BodyText"/>
      </w:pPr>
      <w:bookmarkStart w:id="105" w:name="ref-mcgill_trees_2012"/>
      <w:bookmarkEnd w:id="105"/>
      <w:r>
        <w:t xml:space="preserve"> </w:t>
      </w:r>
      <w:r>
        <w:t xml:space="preserve">McGill, B. J. 2012. Trees are rarely most abundant where they grow best.</w:t>
      </w:r>
      <w:r>
        <w:t xml:space="preserve"> </w:t>
      </w:r>
      <w:r>
        <w:t xml:space="preserve">Journal of Plant Ecology 5:46–51.</w:t>
      </w:r>
    </w:p>
    <w:p>
      <w:pPr>
        <w:pStyle w:val="BodyText"/>
      </w:pPr>
      <w:bookmarkStart w:id="106" w:name="ref-mcintire_perfict_2022"/>
      <w:bookmarkEnd w:id="106"/>
      <w:r>
        <w:t xml:space="preserve"> </w:t>
      </w:r>
      <w:r>
        <w:t xml:space="preserve">McIntire, E. J. B., A. M. Chubaty, S. G. Cumming, D. Andison, C. Barros,</w:t>
      </w:r>
      <w:r>
        <w:t xml:space="preserve"> </w:t>
      </w:r>
      <w:r>
        <w:t xml:space="preserve">C. Boisvenue, S. Hach’e, Y. Luo, T. Micheletti, and F. E. C. Stewart.</w:t>
      </w:r>
      <w:r>
        <w:t xml:space="preserve"> </w:t>
      </w:r>
      <w:r>
        <w:t xml:space="preserve">2022. PERFICT: A Re‐imagined foundation for predictive ecology. Ecology</w:t>
      </w:r>
      <w:r>
        <w:t xml:space="preserve"> </w:t>
      </w:r>
      <w:r>
        <w:t xml:space="preserve">Letters 25:1345–1351.</w:t>
      </w:r>
    </w:p>
    <w:p>
      <w:pPr>
        <w:pStyle w:val="BodyText"/>
      </w:pPr>
      <w:bookmarkStart w:id="107" w:name="ref-mckenney_spatial_2013"/>
      <w:bookmarkEnd w:id="107"/>
      <w:r>
        <w:t xml:space="preserve"> </w:t>
      </w:r>
      <w:r>
        <w:t xml:space="preserve">McKenney, D., J. Pedlar, M. Hutchinson, P. Papadopol, K. Lawrence, K.</w:t>
      </w:r>
      <w:r>
        <w:t xml:space="preserve"> </w:t>
      </w:r>
      <w:r>
        <w:t xml:space="preserve">Campbell, E. Milewska, R. F. Hopkinson, and D. Price. 2013. Spatial</w:t>
      </w:r>
      <w:r>
        <w:t xml:space="preserve"> </w:t>
      </w:r>
      <w:r>
        <w:t xml:space="preserve">climate models for Canada’s forestry community. The Forestry Chronicle</w:t>
      </w:r>
      <w:r>
        <w:t xml:space="preserve"> </w:t>
      </w:r>
      <w:r>
        <w:t xml:space="preserve">89:659–663.</w:t>
      </w:r>
    </w:p>
    <w:p>
      <w:pPr>
        <w:pStyle w:val="BodyText"/>
      </w:pPr>
      <w:bookmarkStart w:id="108" w:name="ref-mckenney_customized_2011"/>
      <w:bookmarkEnd w:id="108"/>
      <w:r>
        <w:t xml:space="preserve"> </w:t>
      </w:r>
      <w:r>
        <w:t xml:space="preserve">McKenney, D. W., M. F. Hutchinson, P. Papadopol, K. Lawrence, J. Pedlar,</w:t>
      </w:r>
      <w:r>
        <w:t xml:space="preserve"> </w:t>
      </w:r>
      <w:r>
        <w:t xml:space="preserve">K. Campbell, E. Milewska, R. F. Hopkinson, D. Price, and T. Owen. 2011.</w:t>
      </w:r>
      <w:r>
        <w:t xml:space="preserve"> </w:t>
      </w:r>
      <w:r>
        <w:t xml:space="preserve">Customized Spatial Climate Models for North America. Bulletin of the</w:t>
      </w:r>
      <w:r>
        <w:t xml:space="preserve"> </w:t>
      </w:r>
      <w:r>
        <w:t xml:space="preserve">American Meteorological Society 92:1611–1622.</w:t>
      </w:r>
    </w:p>
    <w:p>
      <w:pPr>
        <w:pStyle w:val="BodyText"/>
      </w:pPr>
      <w:bookmarkStart w:id="109" w:name="ref-ovaskainen_transient_2002"/>
      <w:bookmarkEnd w:id="109"/>
      <w:r>
        <w:t xml:space="preserve"> </w:t>
      </w:r>
      <w:r>
        <w:t xml:space="preserve">Ovaskainen, O., and I. Hanski. 2002. Transient Dynamics in</w:t>
      </w:r>
      <w:r>
        <w:t xml:space="preserve"> </w:t>
      </w:r>
      <w:r>
        <w:t xml:space="preserve">Metapopulation Response to Perturbation. Theoretical Population Biology</w:t>
      </w:r>
      <w:r>
        <w:t xml:space="preserve"> </w:t>
      </w:r>
      <w:r>
        <w:t xml:space="preserve">61:285–295.</w:t>
      </w:r>
    </w:p>
    <w:p>
      <w:pPr>
        <w:pStyle w:val="BodyText"/>
      </w:pPr>
      <w:bookmarkStart w:id="110" w:name="ref-parmesan_ecological_2006"/>
      <w:bookmarkEnd w:id="110"/>
      <w:r>
        <w:t xml:space="preserve"> </w:t>
      </w:r>
      <w:r>
        <w:t xml:space="preserve">Parmesan, C. 2006. Ecological and Evolutionary Responses to Recent</w:t>
      </w:r>
      <w:r>
        <w:t xml:space="preserve"> </w:t>
      </w:r>
      <w:r>
        <w:t xml:space="preserve">Climate Change. Annual Review of Ecology, Evolution, and Systematics</w:t>
      </w:r>
      <w:r>
        <w:t xml:space="preserve"> </w:t>
      </w:r>
      <w:r>
        <w:t xml:space="preserve">37:637–669.</w:t>
      </w:r>
    </w:p>
    <w:p>
      <w:pPr>
        <w:pStyle w:val="BodyText"/>
      </w:pPr>
      <w:bookmarkStart w:id="111" w:name="ref-ramiadantsoa_responses_2018"/>
      <w:bookmarkEnd w:id="111"/>
      <w:r>
        <w:t xml:space="preserve"> </w:t>
      </w:r>
      <w:r>
        <w:t xml:space="preserve">Ramiadantsoa, T., I. Hanski, and O. Ovaskainen. 2018. Responses of</w:t>
      </w:r>
      <w:r>
        <w:t xml:space="preserve"> </w:t>
      </w:r>
      <w:r>
        <w:t xml:space="preserve">generalist and specialist species to fragmented landscapes. Theoretical</w:t>
      </w:r>
      <w:r>
        <w:t xml:space="preserve"> </w:t>
      </w:r>
      <w:r>
        <w:t xml:space="preserve">Population Biology 124:31–40.</w:t>
      </w:r>
    </w:p>
    <w:p>
      <w:pPr>
        <w:pStyle w:val="BodyText"/>
      </w:pPr>
      <w:bookmarkStart w:id="112" w:name="ref-regniere_biosim_2017"/>
      <w:bookmarkEnd w:id="112"/>
      <w:r>
        <w:t xml:space="preserve"> </w:t>
      </w:r>
      <w:r>
        <w:t xml:space="preserve">R’egni‘ere, J., R. Saint-Amant, A. B’echard, and A. Moutaoufik.</w:t>
      </w:r>
      <w:r>
        <w:t xml:space="preserve"> </w:t>
      </w:r>
      <w:r>
        <w:t xml:space="preserve">2017. BioSIM 11 user’s manual. Natural Resources Canada, Canadian Forest</w:t>
      </w:r>
      <w:r>
        <w:t xml:space="preserve"> </w:t>
      </w:r>
      <w:r>
        <w:t xml:space="preserve">Services, Laurentian Forestry Center, Québec, Canada.</w:t>
      </w:r>
    </w:p>
    <w:p>
      <w:pPr>
        <w:pStyle w:val="BodyText"/>
      </w:pPr>
      <w:bookmarkStart w:id="113" w:name="ref-regniere_stochastic_2007"/>
      <w:bookmarkEnd w:id="113"/>
      <w:r>
        <w:t xml:space="preserve"> </w:t>
      </w:r>
      <w:r>
        <w:t xml:space="preserve">R’egni‘ere, J., and R. St-Amant. 2007. Stochastic simulation of</w:t>
      </w:r>
      <w:r>
        <w:t xml:space="preserve"> </w:t>
      </w:r>
      <w:r>
        <w:t xml:space="preserve">daily air temperature and precipitation from monthly normals in North</w:t>
      </w:r>
      <w:r>
        <w:t xml:space="preserve"> </w:t>
      </w:r>
      <w:r>
        <w:t xml:space="preserve">America north of Mexico. International Journal of Biometeorology</w:t>
      </w:r>
      <w:r>
        <w:t xml:space="preserve"> </w:t>
      </w:r>
      <w:r>
        <w:t xml:space="preserve">51:415–430.</w:t>
      </w:r>
    </w:p>
    <w:p>
      <w:pPr>
        <w:pStyle w:val="BodyText"/>
      </w:pPr>
      <w:bookmarkStart w:id="114" w:name="ref-renner_point_2015"/>
      <w:bookmarkEnd w:id="114"/>
      <w:r>
        <w:t xml:space="preserve"> </w:t>
      </w:r>
      <w:r>
        <w:t xml:space="preserve">Renner, I. W., J. Elith, A. Baddeley, W. Fithian, T. Hastie, S. J.</w:t>
      </w:r>
      <w:r>
        <w:t xml:space="preserve"> </w:t>
      </w:r>
      <w:r>
        <w:t xml:space="preserve">Phillips, G. Popovic, and D. I. Warton. 2015. Point process models for</w:t>
      </w:r>
      <w:r>
        <w:t xml:space="preserve"> </w:t>
      </w:r>
      <w:r>
        <w:t xml:space="preserve">presence‐only analysis. Methods in Ecology and Evolution 6:366–379.</w:t>
      </w:r>
    </w:p>
    <w:p>
      <w:pPr>
        <w:pStyle w:val="BodyText"/>
      </w:pPr>
      <w:bookmarkStart w:id="115" w:name="ref-ricciardi_assisted_2009"/>
      <w:bookmarkEnd w:id="115"/>
      <w:r>
        <w:t xml:space="preserve"> </w:t>
      </w:r>
      <w:r>
        <w:t xml:space="preserve">Ricciardi, A., and D. Simberloff. 2009. Assisted colonization is not a</w:t>
      </w:r>
      <w:r>
        <w:t xml:space="preserve"> </w:t>
      </w:r>
      <w:r>
        <w:t xml:space="preserve">viable conservation strategy. Trends in Ecology &amp; Evolution</w:t>
      </w:r>
      <w:r>
        <w:t xml:space="preserve"> </w:t>
      </w:r>
      <w:r>
        <w:t xml:space="preserve">24:248–253.</w:t>
      </w:r>
    </w:p>
    <w:p>
      <w:pPr>
        <w:pStyle w:val="BodyText"/>
      </w:pPr>
      <w:bookmarkStart w:id="116" w:name="ref-rimmer_bicknells_2001"/>
      <w:bookmarkEnd w:id="116"/>
      <w:r>
        <w:t xml:space="preserve"> </w:t>
      </w:r>
      <w:r>
        <w:t xml:space="preserve">Rimmer, C. C., J. D. Lambert, K. P. Mcfarl, and D. Busby. 2001.</w:t>
      </w:r>
      <w:r>
        <w:t xml:space="preserve"> </w:t>
      </w:r>
      <w:r>
        <w:t xml:space="preserve">Bicknell’s Thrush: Catharus bicknelli.</w:t>
      </w:r>
      <w:r>
        <w:t xml:space="preserve"> </w:t>
      </w:r>
      <w:r>
        <w:rPr>
          <w:i/>
        </w:rPr>
        <w:t xml:space="preserve">in</w:t>
      </w:r>
      <w:r>
        <w:t xml:space="preserve"> </w:t>
      </w:r>
      <w:r>
        <w:t xml:space="preserve">The birds of North</w:t>
      </w:r>
      <w:r>
        <w:t xml:space="preserve"> </w:t>
      </w:r>
      <w:r>
        <w:t xml:space="preserve">America, 592. The Birds of North. America, Inc.</w:t>
      </w:r>
    </w:p>
    <w:p>
      <w:pPr>
        <w:pStyle w:val="BodyText"/>
      </w:pPr>
      <w:bookmarkStart w:id="117" w:name="ref-robin_proc_2011"/>
      <w:bookmarkEnd w:id="117"/>
      <w:r>
        <w:t xml:space="preserve"> </w:t>
      </w:r>
      <w:r>
        <w:t xml:space="preserve">Robin, X., N. Turck, A. Hainard, F. Lisacek, and J.-C. Sanchez. 2011.</w:t>
      </w:r>
      <w:r>
        <w:t xml:space="preserve"> </w:t>
      </w:r>
      <w:r>
        <w:t xml:space="preserve">pROC: An open-source package for R and S+ to analyze and compare ROC</w:t>
      </w:r>
      <w:r>
        <w:t xml:space="preserve"> </w:t>
      </w:r>
      <w:r>
        <w:t xml:space="preserve">curves. BMC Bioinformatics 12:1–8.</w:t>
      </w:r>
    </w:p>
    <w:p>
      <w:pPr>
        <w:pStyle w:val="BodyText"/>
      </w:pPr>
      <w:bookmarkStart w:id="118" w:name="ref-rodenhouse_potential_2008"/>
      <w:bookmarkEnd w:id="118"/>
      <w:r>
        <w:t xml:space="preserve"> </w:t>
      </w:r>
      <w:r>
        <w:t xml:space="preserve">Rodenhouse, N. L., S. N. Matthews, K. P. McFarland, J. D. Lambert, L. R.</w:t>
      </w:r>
      <w:r>
        <w:t xml:space="preserve"> </w:t>
      </w:r>
      <w:r>
        <w:t xml:space="preserve">Iverson, A. Prasad, T. S. Sillett, and R. T. Holmes. 2008. Potential</w:t>
      </w:r>
      <w:r>
        <w:t xml:space="preserve"> </w:t>
      </w:r>
      <w:r>
        <w:t xml:space="preserve">effects of climate change on birds of the Northeast. Mitigation and</w:t>
      </w:r>
      <w:r>
        <w:t xml:space="preserve"> </w:t>
      </w:r>
      <w:r>
        <w:t xml:space="preserve">Adaptation Strategies for Global Change 13:517–540.</w:t>
      </w:r>
    </w:p>
    <w:p>
      <w:pPr>
        <w:pStyle w:val="BodyText"/>
      </w:pPr>
      <w:bookmarkStart w:id="119" w:name="ref-savage_elevational_2015"/>
      <w:bookmarkEnd w:id="119"/>
      <w:r>
        <w:t xml:space="preserve"> </w:t>
      </w:r>
      <w:r>
        <w:t xml:space="preserve">Savage, J., and M. Vellend. 2015. Elevational shifts, biotic</w:t>
      </w:r>
      <w:r>
        <w:t xml:space="preserve"> </w:t>
      </w:r>
      <w:r>
        <w:t xml:space="preserve">homogenization and time lags in vegetation change during 40 years of</w:t>
      </w:r>
      <w:r>
        <w:t xml:space="preserve"> </w:t>
      </w:r>
      <w:r>
        <w:t xml:space="preserve">climate warming. Ecography 38:546–555.</w:t>
      </w:r>
    </w:p>
    <w:p>
      <w:pPr>
        <w:pStyle w:val="BodyText"/>
      </w:pPr>
      <w:bookmarkStart w:id="120" w:name="ref-scheller_design_2007"/>
      <w:bookmarkEnd w:id="120"/>
      <w:r>
        <w:t xml:space="preserve"> </w:t>
      </w:r>
      <w:r>
        <w:t xml:space="preserve">Scheller, R. M., J. B. Domingo, B. R. Sturtevant, J. S. Williams, A.</w:t>
      </w:r>
      <w:r>
        <w:t xml:space="preserve"> </w:t>
      </w:r>
      <w:r>
        <w:t xml:space="preserve">Rudy, E. J. Gustafson, and D. J. Mladenoff. 2007. Design, development,</w:t>
      </w:r>
      <w:r>
        <w:t xml:space="preserve"> </w:t>
      </w:r>
      <w:r>
        <w:t xml:space="preserve">and application of LANDIS-II, a spatial landscape simulation model with</w:t>
      </w:r>
      <w:r>
        <w:t xml:space="preserve"> </w:t>
      </w:r>
      <w:r>
        <w:t xml:space="preserve">flexible temporal and spatial resolution. Ecological Modelling</w:t>
      </w:r>
      <w:r>
        <w:t xml:space="preserve"> </w:t>
      </w:r>
      <w:r>
        <w:t xml:space="preserve">201:409–419.</w:t>
      </w:r>
    </w:p>
    <w:p>
      <w:pPr>
        <w:pStyle w:val="BodyText"/>
      </w:pPr>
      <w:bookmarkStart w:id="121" w:name="ref-schnell_estimating_2013"/>
      <w:bookmarkEnd w:id="121"/>
      <w:r>
        <w:t xml:space="preserve"> </w:t>
      </w:r>
      <w:r>
        <w:t xml:space="preserve">Schnell, J. K., G. M. Harris, S. L. Pimm, and G. J. Russell. 2013.</w:t>
      </w:r>
      <w:r>
        <w:t xml:space="preserve"> </w:t>
      </w:r>
      <w:r>
        <w:t xml:space="preserve">Estimating Extinction Risk with Metapopulation Models of Large-Scale</w:t>
      </w:r>
      <w:r>
        <w:t xml:space="preserve"> </w:t>
      </w:r>
      <w:r>
        <w:t xml:space="preserve">Fragmentation. Conservation Biology 27:520–530.</w:t>
      </w:r>
    </w:p>
    <w:p>
      <w:pPr>
        <w:pStyle w:val="BodyText"/>
      </w:pPr>
      <w:bookmarkStart w:id="122" w:name="ref-shaffer_metapopulation_1985"/>
      <w:bookmarkEnd w:id="122"/>
      <w:r>
        <w:t xml:space="preserve"> </w:t>
      </w:r>
      <w:r>
        <w:t xml:space="preserve">Shaffer, M. L. 1985. The metapopulation and species conservation: The</w:t>
      </w:r>
      <w:r>
        <w:t xml:space="preserve"> </w:t>
      </w:r>
      <w:r>
        <w:t xml:space="preserve">special case of the northern spotted owl. Ecology and management of the</w:t>
      </w:r>
      <w:r>
        <w:t xml:space="preserve"> </w:t>
      </w:r>
      <w:r>
        <w:t xml:space="preserve">spotted owl in the Pacific Northwest. Pacific Northwest Forest and Range</w:t>
      </w:r>
      <w:r>
        <w:t xml:space="preserve"> </w:t>
      </w:r>
      <w:r>
        <w:t xml:space="preserve">Experiment Station, Corvallis, Oregon:86–99.</w:t>
      </w:r>
    </w:p>
    <w:p>
      <w:pPr>
        <w:pStyle w:val="BodyText"/>
      </w:pPr>
      <w:bookmarkStart w:id="123" w:name="ref-snell_using_2014"/>
      <w:bookmarkEnd w:id="123"/>
      <w:r>
        <w:t xml:space="preserve"> </w:t>
      </w:r>
      <w:r>
        <w:t xml:space="preserve">Snell, R. S., A. Huth, J. E. M. S. Nabel, G. Bocedi, J. M. J. Travis, D.</w:t>
      </w:r>
      <w:r>
        <w:t xml:space="preserve"> </w:t>
      </w:r>
      <w:r>
        <w:t xml:space="preserve">Gravel, H. Bugmann, A. G. Guti’errez, T. Hickler, S. I. Higgins, B.</w:t>
      </w:r>
      <w:r>
        <w:t xml:space="preserve"> </w:t>
      </w:r>
      <w:r>
        <w:t xml:space="preserve">Reineking, M. Scherstjanoi, N. Zurbriggen, and H. Lischke. 2014. Using</w:t>
      </w:r>
      <w:r>
        <w:t xml:space="preserve"> </w:t>
      </w:r>
      <w:r>
        <w:t xml:space="preserve">dynamic vegetation models to simulate plant range shifts. Ecography</w:t>
      </w:r>
      <w:r>
        <w:t xml:space="preserve"> </w:t>
      </w:r>
      <w:r>
        <w:t xml:space="preserve">37:1184–1197.</w:t>
      </w:r>
    </w:p>
    <w:p>
      <w:pPr>
        <w:pStyle w:val="BodyText"/>
      </w:pPr>
      <w:bookmarkStart w:id="124" w:name="ref-sos-pop_banque_2021"/>
      <w:bookmarkEnd w:id="124"/>
      <w:r>
        <w:t xml:space="preserve"> </w:t>
      </w:r>
      <w:r>
        <w:t xml:space="preserve">SOS-POP. 2021. Banque de données sur les populations d’oiseaux en</w:t>
      </w:r>
      <w:r>
        <w:t xml:space="preserve"> </w:t>
      </w:r>
      <w:r>
        <w:t xml:space="preserve">situation précaire au Québec. Données issues du programme de Suivi des</w:t>
      </w:r>
      <w:r>
        <w:t xml:space="preserve"> </w:t>
      </w:r>
      <w:r>
        <w:t xml:space="preserve">sites importants pour la conservation des populations d’oiseaux en péril</w:t>
      </w:r>
      <w:r>
        <w:t xml:space="preserve"> </w:t>
      </w:r>
      <w:r>
        <w:t xml:space="preserve">du Québec. QuébecOiseaux, Montréal, Québec.</w:t>
      </w:r>
    </w:p>
    <w:p>
      <w:pPr>
        <w:pStyle w:val="BodyText"/>
      </w:pPr>
      <w:bookmarkStart w:id="125" w:name="ref-stephan_positive_2021"/>
      <w:bookmarkEnd w:id="125"/>
      <w:r>
        <w:t xml:space="preserve"> </w:t>
      </w:r>
      <w:r>
        <w:t xml:space="preserve">Stephan, P., B. B. Mora, and J. M. Alexander. 2021. Positive species</w:t>
      </w:r>
      <w:r>
        <w:t xml:space="preserve"> </w:t>
      </w:r>
      <w:r>
        <w:t xml:space="preserve">interactions shape species’ range limits. Oikos:1611–1625.</w:t>
      </w:r>
    </w:p>
    <w:p>
      <w:pPr>
        <w:pStyle w:val="BodyText"/>
      </w:pPr>
      <w:bookmarkStart w:id="126" w:name="ref-stralberg_conservation_2015"/>
      <w:bookmarkEnd w:id="126"/>
      <w:r>
        <w:t xml:space="preserve"> </w:t>
      </w:r>
      <w:r>
        <w:t xml:space="preserve">Stralberg, D., E. M. Bayne, S. G. Cumming, P. S’olymos, S. J. Song,</w:t>
      </w:r>
      <w:r>
        <w:t xml:space="preserve"> </w:t>
      </w:r>
      <w:r>
        <w:t xml:space="preserve">and F. K. A. Schmiegelow. 2015. Conservation of future boreal forest</w:t>
      </w:r>
      <w:r>
        <w:t xml:space="preserve"> </w:t>
      </w:r>
      <w:r>
        <w:t xml:space="preserve">bird communities considering lags in vegetation response to climate</w:t>
      </w:r>
      <w:r>
        <w:t xml:space="preserve"> </w:t>
      </w:r>
      <w:r>
        <w:t xml:space="preserve">change: A modified refugia approach. Diversity and Distributions</w:t>
      </w:r>
      <w:r>
        <w:t xml:space="preserve"> </w:t>
      </w:r>
      <w:r>
        <w:t xml:space="preserve">21:1112–1128.</w:t>
      </w:r>
    </w:p>
    <w:p>
      <w:pPr>
        <w:pStyle w:val="BodyText"/>
      </w:pPr>
      <w:bookmarkStart w:id="127" w:name="ref-stralberg_conservation_2019"/>
      <w:bookmarkEnd w:id="127"/>
      <w:r>
        <w:t xml:space="preserve"> </w:t>
      </w:r>
      <w:r>
        <w:t xml:space="preserve">Stralberg, D., D. Berteaux, C. R. Drever, M. Drever, I.</w:t>
      </w:r>
      <w:r>
        <w:t xml:space="preserve"> </w:t>
      </w:r>
      <w:r>
        <w:t xml:space="preserve">Naujokaitis-Lewis, F. K. A. Schmiegelow, and J. A. Tremblay. 2019.</w:t>
      </w:r>
      <w:r>
        <w:t xml:space="preserve"> </w:t>
      </w:r>
      <w:r>
        <w:t xml:space="preserve">Conservation planning for boreal birds in a changing climate: A</w:t>
      </w:r>
      <w:r>
        <w:t xml:space="preserve"> </w:t>
      </w:r>
      <w:r>
        <w:t xml:space="preserve">framework for action. Avian Conservation and Ecology 14:art13.</w:t>
      </w:r>
    </w:p>
    <w:p>
      <w:pPr>
        <w:pStyle w:val="BodyText"/>
      </w:pPr>
      <w:bookmarkStart w:id="128" w:name="ref-studds_stable-hydrogen_2012"/>
      <w:bookmarkEnd w:id="128"/>
      <w:r>
        <w:t xml:space="preserve"> </w:t>
      </w:r>
      <w:r>
        <w:t xml:space="preserve">Studds, C. E., K. P. McFarland, Y. Aubry, C. C. Rimmer, K. A. Hobson, P.</w:t>
      </w:r>
      <w:r>
        <w:t xml:space="preserve"> </w:t>
      </w:r>
      <w:r>
        <w:t xml:space="preserve">P. Marra, and L. I. Wassenaar. 2012. Stable-hydrogen isotope measures of</w:t>
      </w:r>
      <w:r>
        <w:t xml:space="preserve"> </w:t>
      </w:r>
      <w:r>
        <w:t xml:space="preserve">natal dispersal reflect observed population declines in a threatened</w:t>
      </w:r>
      <w:r>
        <w:t xml:space="preserve"> </w:t>
      </w:r>
      <w:r>
        <w:t xml:space="preserve">migratory songbird. Diversity and Distributions 18:919–930.</w:t>
      </w:r>
    </w:p>
    <w:p>
      <w:pPr>
        <w:pStyle w:val="BodyText"/>
      </w:pPr>
      <w:bookmarkStart w:id="129" w:name="ref-svenning_influence_2014"/>
      <w:bookmarkEnd w:id="129"/>
      <w:r>
        <w:t xml:space="preserve"> </w:t>
      </w:r>
      <w:r>
        <w:t xml:space="preserve">Svenning, J. C., D. Gravel, R. D. Holt, F. M. Schurr, W. Thuiller, T.</w:t>
      </w:r>
      <w:r>
        <w:t xml:space="preserve"> </w:t>
      </w:r>
      <w:r>
        <w:t xml:space="preserve">Münkemüller, K. H. Schiffers, S. Dullinger, T. C. Edwards, T. Hickler,</w:t>
      </w:r>
      <w:r>
        <w:t xml:space="preserve"> </w:t>
      </w:r>
      <w:r>
        <w:t xml:space="preserve">S. I. Higgins, J. E. M. S. Nabel, J. Pagel, and S. Normand. 2014. The</w:t>
      </w:r>
      <w:r>
        <w:t xml:space="preserve"> </w:t>
      </w:r>
      <w:r>
        <w:t xml:space="preserve">influence of interspecific interactions on species range expansion</w:t>
      </w:r>
      <w:r>
        <w:t xml:space="preserve"> </w:t>
      </w:r>
      <w:r>
        <w:t xml:space="preserve">rates. Ecography 37:1198–1209.</w:t>
      </w:r>
    </w:p>
    <w:p>
      <w:pPr>
        <w:pStyle w:val="BodyText"/>
      </w:pPr>
      <w:bookmarkStart w:id="130" w:name="ref-svenning_disequilibrium_2013"/>
      <w:bookmarkEnd w:id="130"/>
      <w:r>
        <w:t xml:space="preserve"> </w:t>
      </w:r>
      <w:r>
        <w:t xml:space="preserve">Svenning, J. C., and B. Sandel. 2013. Disequilibrium vegetation dynamics</w:t>
      </w:r>
      <w:r>
        <w:t xml:space="preserve"> </w:t>
      </w:r>
      <w:r>
        <w:t xml:space="preserve">under future climate change. American Journal of Botany 100:1266–1286.</w:t>
      </w:r>
    </w:p>
    <w:p>
      <w:pPr>
        <w:pStyle w:val="BodyText"/>
      </w:pPr>
      <w:bookmarkStart w:id="131" w:name="ref-talluto_extinction_2017"/>
      <w:bookmarkEnd w:id="131"/>
      <w:r>
        <w:t xml:space="preserve"> </w:t>
      </w:r>
      <w:r>
        <w:t xml:space="preserve">Talluto, M. V., I. Boulangeat, S. Vissault, W. Thuiller, and D. Gravel.</w:t>
      </w:r>
      <w:r>
        <w:t xml:space="preserve"> </w:t>
      </w:r>
      <w:r>
        <w:t xml:space="preserve">2017. Extinction debt and colonization credit delay range shifts of</w:t>
      </w:r>
      <w:r>
        <w:t xml:space="preserve"> </w:t>
      </w:r>
      <w:r>
        <w:t xml:space="preserve">eastern North American trees. Nature Ecology &amp; Evolution 1:0182–0182.</w:t>
      </w:r>
    </w:p>
    <w:p>
      <w:pPr>
        <w:pStyle w:val="BodyText"/>
      </w:pPr>
      <w:bookmarkStart w:id="132" w:name="ref-thomas_extinction_2004"/>
      <w:bookmarkEnd w:id="132"/>
      <w:r>
        <w:t xml:space="preserve"> </w:t>
      </w:r>
      <w:r>
        <w:t xml:space="preserve">Thomas, C. D., A. Cameron, G. F. Midgley, A. T. Peterson, S. E.</w:t>
      </w:r>
      <w:r>
        <w:t xml:space="preserve"> </w:t>
      </w:r>
      <w:r>
        <w:t xml:space="preserve">Williams, A. Cameron, R. E. Green, and M. Bakkenes. 2004. Extinction</w:t>
      </w:r>
      <w:r>
        <w:t xml:space="preserve"> </w:t>
      </w:r>
      <w:r>
        <w:t xml:space="preserve">risk from climate change. Nature 427:145–148.</w:t>
      </w:r>
    </w:p>
    <w:p>
      <w:pPr>
        <w:pStyle w:val="BodyText"/>
      </w:pPr>
      <w:bookmarkStart w:id="133" w:name="ref-thuiller_road_2013"/>
      <w:bookmarkEnd w:id="133"/>
      <w:r>
        <w:t xml:space="preserve"> </w:t>
      </w:r>
      <w:r>
        <w:t xml:space="preserve">Thuiller, W., T. Münkemüller, S. Lavergne, D. Mouillot, N. Mouquet, K.</w:t>
      </w:r>
      <w:r>
        <w:t xml:space="preserve"> </w:t>
      </w:r>
      <w:r>
        <w:t xml:space="preserve">Schiffers, and D. Gravel. 2013. A road map for integrating</w:t>
      </w:r>
      <w:r>
        <w:t xml:space="preserve"> </w:t>
      </w:r>
      <w:r>
        <w:t xml:space="preserve">eco-evolutionary processes into biodiversity models. Ecology Letters</w:t>
      </w:r>
      <w:r>
        <w:t xml:space="preserve"> </w:t>
      </w:r>
      <w:r>
        <w:t xml:space="preserve">16:94–105.</w:t>
      </w:r>
    </w:p>
    <w:p>
      <w:pPr>
        <w:pStyle w:val="BodyText"/>
      </w:pPr>
      <w:bookmarkStart w:id="134" w:name="ref-billerman_bicknells_2020"/>
      <w:bookmarkEnd w:id="134"/>
      <w:r>
        <w:t xml:space="preserve"> </w:t>
      </w:r>
      <w:r>
        <w:t xml:space="preserve">Townsend, J. M., K. P. McFarland, C. C. Rimmer, W. G. Ellison, and J. E.</w:t>
      </w:r>
      <w:r>
        <w:t xml:space="preserve"> </w:t>
      </w:r>
      <w:r>
        <w:t xml:space="preserve">Goetz. 2020. Bicknell’s Thrush (Catharus bicknelli).</w:t>
      </w:r>
      <w:r>
        <w:t xml:space="preserve"> </w:t>
      </w:r>
      <w:r>
        <w:rPr>
          <w:i/>
        </w:rPr>
        <w:t xml:space="preserve">in</w:t>
      </w:r>
      <w:r>
        <w:t xml:space="preserve"> </w:t>
      </w:r>
      <w:r>
        <w:t xml:space="preserve">S. M.</w:t>
      </w:r>
      <w:r>
        <w:t xml:space="preserve"> </w:t>
      </w:r>
      <w:r>
        <w:t xml:space="preserve">Billerman, B. K. Keeney, P. G. Rodewald, and T. S. Schulenberg, editors.</w:t>
      </w:r>
      <w:r>
        <w:t xml:space="preserve"> </w:t>
      </w:r>
      <w:r>
        <w:t xml:space="preserve">Birds of the World. Cornell Lab of Ornithology.</w:t>
      </w:r>
    </w:p>
    <w:p>
      <w:pPr>
        <w:pStyle w:val="BodyText"/>
      </w:pPr>
      <w:bookmarkStart w:id="135" w:name="ref-tremblay_harvesting_2018"/>
      <w:bookmarkEnd w:id="135"/>
      <w:r>
        <w:t xml:space="preserve"> </w:t>
      </w:r>
      <w:r>
        <w:t xml:space="preserve">Tremblay, J. A., Y. Boulanger, D. Cyr, A. R. Taylor, D. T. Price, and</w:t>
      </w:r>
      <w:r>
        <w:t xml:space="preserve"> </w:t>
      </w:r>
      <w:r>
        <w:t xml:space="preserve">M.-H. St-Laurent. 2018. Harvesting interacts with climate change to</w:t>
      </w:r>
      <w:r>
        <w:t xml:space="preserve"> </w:t>
      </w:r>
      <w:r>
        <w:t xml:space="preserve">affect future habitat quality of a focal species in eastern Canada’s</w:t>
      </w:r>
      <w:r>
        <w:t xml:space="preserve"> </w:t>
      </w:r>
      <w:r>
        <w:t xml:space="preserve">boreal forest. PLOS ONE 13:e0191645.</w:t>
      </w:r>
    </w:p>
    <w:p>
      <w:pPr>
        <w:pStyle w:val="BodyText"/>
      </w:pPr>
      <w:bookmarkStart w:id="136" w:name="ref-urban_improving_2016"/>
      <w:bookmarkEnd w:id="136"/>
      <w:r>
        <w:t xml:space="preserve"> </w:t>
      </w:r>
      <w:r>
        <w:t xml:space="preserve">Urban, M. C., G. Bocedi, A. P. Hendry, J. B. Mihoub, G. Pe’er, A.</w:t>
      </w:r>
      <w:r>
        <w:t xml:space="preserve"> </w:t>
      </w:r>
      <w:r>
        <w:t xml:space="preserve">Singer, J. R. Bridle, L. G. Crozier, L. De Meester, W. Godsoe, A.</w:t>
      </w:r>
      <w:r>
        <w:t xml:space="preserve"> </w:t>
      </w:r>
      <w:r>
        <w:t xml:space="preserve">Gonzalez, J. J. Hellmann, R. D. Holt, A. Huth, K. Johst, C. B. Krug, P.</w:t>
      </w:r>
      <w:r>
        <w:t xml:space="preserve"> </w:t>
      </w:r>
      <w:r>
        <w:t xml:space="preserve">W. Leadley, S. C. F. Palmer, J. H. Pantel, A. Schmitz, P. A. Zollner,</w:t>
      </w:r>
      <w:r>
        <w:t xml:space="preserve"> </w:t>
      </w:r>
      <w:r>
        <w:t xml:space="preserve">and J. M. J. Travis. 2016. Improving the forecast for biodiversity under</w:t>
      </w:r>
      <w:r>
        <w:t xml:space="preserve"> </w:t>
      </w:r>
      <w:r>
        <w:t xml:space="preserve">climate change. Science 353:aad8466.</w:t>
      </w:r>
    </w:p>
    <w:p>
      <w:pPr>
        <w:pStyle w:val="BodyText"/>
      </w:pPr>
      <w:bookmarkStart w:id="137" w:name="ref-van_houtan_dispersal_2007"/>
      <w:bookmarkEnd w:id="137"/>
      <w:r>
        <w:t xml:space="preserve"> </w:t>
      </w:r>
      <w:r>
        <w:t xml:space="preserve">Van Houtan, K. S., S. L. Pimm, J. M. Halley, R. O. Bierregaard, and T.</w:t>
      </w:r>
      <w:r>
        <w:t xml:space="preserve"> </w:t>
      </w:r>
      <w:r>
        <w:t xml:space="preserve">E. Lovejoy. 2007. Dispersal of Amazonian birds in continuous and</w:t>
      </w:r>
      <w:r>
        <w:t xml:space="preserve"> </w:t>
      </w:r>
      <w:r>
        <w:t xml:space="preserve">fragmented forest. Ecology Letters 10:219–229.</w:t>
      </w:r>
    </w:p>
    <w:p>
      <w:pPr>
        <w:pStyle w:val="BodyText"/>
      </w:pPr>
      <w:bookmarkStart w:id="138" w:name="ref-van_vuuren_representative_2011"/>
      <w:bookmarkEnd w:id="138"/>
      <w:r>
        <w:t xml:space="preserve"> </w:t>
      </w:r>
      <w:r>
        <w:t xml:space="preserve">van Vuuren, D. P., J. Edmonds, M. Kainuma, K. Riahi, A. Thomson, K.</w:t>
      </w:r>
      <w:r>
        <w:t xml:space="preserve"> </w:t>
      </w:r>
      <w:r>
        <w:t xml:space="preserve">Hibbard, G. C. Hurtt, T. Kram, V. Krey, J.-F. Lamarque, T. Masui, M.</w:t>
      </w:r>
      <w:r>
        <w:t xml:space="preserve"> </w:t>
      </w:r>
      <w:r>
        <w:t xml:space="preserve">Meinshausen, N. Nakicenovic, S. J. Smith, and S. K. Rose. 2011. The</w:t>
      </w:r>
      <w:r>
        <w:t xml:space="preserve"> </w:t>
      </w:r>
      <w:r>
        <w:t xml:space="preserve">representative concentration pathways: An overview. Climatic Change</w:t>
      </w:r>
      <w:r>
        <w:t xml:space="preserve"> </w:t>
      </w:r>
      <w:r>
        <w:t xml:space="preserve">109:5–31.</w:t>
      </w:r>
    </w:p>
    <w:p>
      <w:pPr>
        <w:pStyle w:val="BodyText"/>
      </w:pPr>
      <w:bookmarkStart w:id="139" w:name="ref-virkkala_patterns_2014"/>
      <w:bookmarkEnd w:id="139"/>
      <w:r>
        <w:t xml:space="preserve"> </w:t>
      </w:r>
      <w:r>
        <w:t xml:space="preserve">Virkkala, R., and A. Lehikoinen. 2014. Patterns of climate-induced</w:t>
      </w:r>
      <w:r>
        <w:t xml:space="preserve"> </w:t>
      </w:r>
      <w:r>
        <w:t xml:space="preserve">density shifts of species: Poleward shifts faster in northern boreal</w:t>
      </w:r>
      <w:r>
        <w:t xml:space="preserve"> </w:t>
      </w:r>
      <w:r>
        <w:t xml:space="preserve">birds than in southern birds. Global Change Biology 20:2995–3003.</w:t>
      </w:r>
    </w:p>
    <w:p>
      <w:pPr>
        <w:pStyle w:val="BodyText"/>
      </w:pPr>
      <w:bookmarkStart w:id="140" w:name="ref-vissault_slow_2020"/>
      <w:bookmarkEnd w:id="140"/>
      <w:r>
        <w:t xml:space="preserve"> </w:t>
      </w:r>
      <w:r>
        <w:t xml:space="preserve">Vissault, S., M. V. Talluto, I. Boulangeat, and D. Gravel. 2020. Slow</w:t>
      </w:r>
      <w:r>
        <w:t xml:space="preserve"> </w:t>
      </w:r>
      <w:r>
        <w:t xml:space="preserve">demography and limited dispersal constrain the expansion of</w:t>
      </w:r>
      <w:r>
        <w:t xml:space="preserve"> </w:t>
      </w:r>
      <w:r>
        <w:t xml:space="preserve">north-eastern temperate forests under climate change. Journal of</w:t>
      </w:r>
      <w:r>
        <w:t xml:space="preserve"> </w:t>
      </w:r>
      <w:r>
        <w:t xml:space="preserve">Biogeography 47:2645–2656.</w:t>
      </w:r>
    </w:p>
    <w:p>
      <w:pPr>
        <w:pStyle w:val="BodyText"/>
      </w:pPr>
      <w:bookmarkStart w:id="141" w:name="ref-willis_assisted_2009"/>
      <w:bookmarkEnd w:id="141"/>
      <w:r>
        <w:t xml:space="preserve"> </w:t>
      </w:r>
      <w:r>
        <w:t xml:space="preserve">Willis, S. G., J. K. Hill, C. D. Thomas, D. B. Roy, R. Fox, D. S.</w:t>
      </w:r>
      <w:r>
        <w:t xml:space="preserve"> </w:t>
      </w:r>
      <w:r>
        <w:t xml:space="preserve">Blakeley, and B. Huntley. 2009. Assisted colonization in a changing</w:t>
      </w:r>
      <w:r>
        <w:t xml:space="preserve"> </w:t>
      </w:r>
      <w:r>
        <w:t xml:space="preserve">climate: A test-study using two U.K. Butterflies. Conservation Letters</w:t>
      </w:r>
      <w:r>
        <w:t xml:space="preserve"> </w:t>
      </w:r>
      <w:r>
        <w:t xml:space="preserve">2:46–52.</w:t>
      </w:r>
    </w:p>
    <w:bookmarkEnd w:id="142"/>
    <w:sectPr w:rsidR="003A5463" w:rsidRPr="003A5463">
      <w:type w:val="continuous"/>
      <w:pgSz w:w="12240" w:h="15840"/>
      <w:pgMar w:top="1440" w:right="1440" w:bottom="1440" w:left="1440" w:header="720" w:footer="720" w:gutter="0"/>
      <w:lnNumType w:countBy="1" w:start="1"/>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atin Modern Roman 9">
    <w:altName w:val="Calibri"/>
    <w:panose1 w:val="020B0604020202020204"/>
    <w:charset w:val="4D"/>
    <w:family w:val="auto"/>
    <w:notTrueType/>
    <w:pitch w:val="variable"/>
    <w:sig w:usb0="20000007" w:usb1="00000000" w:usb2="00000000" w:usb3="00000000" w:csb0="00000193"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2AD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D4C0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4051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B6E0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2EB0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647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383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465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62D8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0E46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AE401"/>
    <w:multiLevelType w:val="multilevel"/>
    <w:tmpl w:val="BBA07F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3A5463"/>
    <w:pPr>
      <w:keepNext/>
      <w:keepLines/>
      <w:spacing w:before="480" w:after="0"/>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BodyText"/>
    <w:uiPriority w:val="9"/>
    <w:unhideWhenUsed/>
    <w:qFormat/>
    <w:rsid w:val="003A5463"/>
    <w:pPr>
      <w:keepNext/>
      <w:keepLines/>
      <w:spacing w:before="200" w:after="0"/>
      <w:outlineLvl w:val="1"/>
    </w:pPr>
    <w:rPr>
      <w:rFonts w:ascii="Times New Roman" w:eastAsiaTheme="majorEastAsia" w:hAnsi="Times New Roman" w:cstheme="majorBidi"/>
      <w:b/>
      <w:bCs/>
      <w:color w:val="000000" w:themeColor="text1"/>
      <w:sz w:val="28"/>
      <w:szCs w:val="32"/>
    </w:rPr>
  </w:style>
  <w:style w:type="paragraph" w:styleId="Heading3">
    <w:name w:val="heading 3"/>
    <w:basedOn w:val="Normal"/>
    <w:next w:val="BodyText"/>
    <w:uiPriority w:val="9"/>
    <w:unhideWhenUsed/>
    <w:qFormat/>
    <w:rsid w:val="003A5463"/>
    <w:pPr>
      <w:keepNext/>
      <w:keepLines/>
      <w:spacing w:before="200" w:after="0"/>
      <w:outlineLvl w:val="2"/>
    </w:pPr>
    <w:rPr>
      <w:rFonts w:ascii="Times New Roman" w:eastAsiaTheme="majorEastAsia" w:hAnsi="Times New Roman" w:cstheme="majorBidi"/>
      <w:b/>
      <w:bCs/>
      <w:color w:val="000000" w:themeColor="text1"/>
      <w:sz w:val="28"/>
      <w:szCs w:val="28"/>
    </w:rPr>
  </w:style>
  <w:style w:type="paragraph" w:styleId="Heading4">
    <w:name w:val="heading 4"/>
    <w:basedOn w:val="Normal"/>
    <w:next w:val="BodyText"/>
    <w:uiPriority w:val="9"/>
    <w:unhideWhenUsed/>
    <w:qFormat/>
    <w:rsid w:val="00C46A21"/>
    <w:pPr>
      <w:keepNext/>
      <w:keepLines/>
      <w:spacing w:before="200" w:after="0"/>
      <w:outlineLvl w:val="3"/>
    </w:pPr>
    <w:rPr>
      <w:rFonts w:ascii="Times New Roman" w:eastAsiaTheme="majorEastAsia" w:hAnsi="Times New Roman" w:cstheme="majorBidi"/>
      <w:b/>
      <w:bCs/>
      <w:color w:val="000000" w:themeColor="text1"/>
    </w:rPr>
  </w:style>
  <w:style w:type="paragraph" w:styleId="Heading5">
    <w:name w:val="heading 5"/>
    <w:basedOn w:val="Normal"/>
    <w:next w:val="BodyText"/>
    <w:uiPriority w:val="9"/>
    <w:unhideWhenUsed/>
    <w:qFormat/>
    <w:rsid w:val="00C46A21"/>
    <w:pPr>
      <w:keepNext/>
      <w:keepLines/>
      <w:spacing w:before="200" w:after="0"/>
      <w:outlineLvl w:val="4"/>
    </w:pPr>
    <w:rPr>
      <w:rFonts w:ascii="Times New Roman" w:eastAsiaTheme="majorEastAsia" w:hAnsi="Times New Roman" w:cstheme="majorBidi"/>
      <w:i/>
      <w:iCs/>
      <w:color w:val="000000" w:themeColor="tex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85DCB"/>
    <w:pPr>
      <w:spacing w:before="180" w:after="0" w:line="360" w:lineRule="auto"/>
      <w:jc w:val="both"/>
    </w:pPr>
    <w:rPr>
      <w:rFonts w:ascii="Times New Roman" w:hAnsi="Times New Roman"/>
    </w:rPr>
  </w:style>
  <w:style w:type="paragraph" w:customStyle="1" w:styleId="FirstParagraph">
    <w:name w:val="First Paragraph"/>
    <w:basedOn w:val="BodyText"/>
    <w:next w:val="BodyText"/>
    <w:qFormat/>
    <w:rsid w:val="00385DCB"/>
  </w:style>
  <w:style w:type="paragraph" w:customStyle="1" w:styleId="Compact">
    <w:name w:val="Compact"/>
    <w:basedOn w:val="BodyText"/>
    <w:qFormat/>
    <w:pPr>
      <w:spacing w:before="36" w:after="36"/>
    </w:pPr>
  </w:style>
  <w:style w:type="paragraph" w:styleId="Title">
    <w:name w:val="Title"/>
    <w:basedOn w:val="Normal"/>
    <w:next w:val="BodyText"/>
    <w:qFormat/>
    <w:rsid w:val="00DE117C"/>
    <w:pPr>
      <w:keepNext/>
      <w:keepLines/>
      <w:spacing w:before="480" w:after="400"/>
      <w:jc w:val="center"/>
    </w:pPr>
    <w:rPr>
      <w:rFonts w:ascii="Times New Roman" w:eastAsiaTheme="majorEastAsia" w:hAnsi="Times New Roman" w:cstheme="majorBidi"/>
      <w:b/>
      <w:bCs/>
      <w:color w:val="000000" w:themeColor="text1"/>
      <w:sz w:val="32"/>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483CD0"/>
    <w:pPr>
      <w:keepNext/>
      <w:keepLines/>
      <w:spacing w:after="0" w:line="360" w:lineRule="auto"/>
    </w:pPr>
    <w:rPr>
      <w:rFonts w:ascii="Times New Roman" w:hAnsi="Times New Roman"/>
    </w:rPr>
  </w:style>
  <w:style w:type="paragraph" w:styleId="Date">
    <w:name w:val="Date"/>
    <w:next w:val="BodyText"/>
    <w:qFormat/>
    <w:rsid w:val="003A5463"/>
    <w:pPr>
      <w:keepNext/>
      <w:keepLines/>
      <w:jc w:val="center"/>
    </w:pPr>
    <w:rPr>
      <w:rFonts w:ascii="Times New Roman" w:hAnsi="Times New Roman"/>
    </w:rPr>
  </w:style>
  <w:style w:type="paragraph" w:customStyle="1" w:styleId="Abstract">
    <w:name w:val="Abstract"/>
    <w:basedOn w:val="Normal"/>
    <w:next w:val="BodyText"/>
    <w:qFormat/>
    <w:rsid w:val="00483CD0"/>
    <w:pPr>
      <w:keepNext/>
      <w:keepLines/>
      <w:spacing w:before="600" w:after="300" w:line="300" w:lineRule="auto"/>
      <w:jc w:val="both"/>
    </w:pPr>
    <w:rPr>
      <w:rFonts w:ascii="Times New Roman" w:hAnsi="Times New Roman"/>
      <w:szCs w:val="20"/>
    </w:rPr>
  </w:style>
  <w:style w:type="paragraph" w:styleId="Bibliography">
    <w:name w:val="Bibliography"/>
    <w:basedOn w:val="Normal"/>
    <w:qFormat/>
    <w:rsid w:val="00591424"/>
    <w:rPr>
      <w:rFonts w:ascii="Times New Roman" w:hAnsi="Times New Roman"/>
      <w:sz w:val="22"/>
    </w:r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3A5463"/>
    <w:rPr>
      <w:rFonts w:ascii="Times New Roman" w:hAnsi="Times New Roman"/>
    </w:rPr>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rsid w:val="00AF40D5"/>
    <w:pPr>
      <w:spacing w:after="120"/>
    </w:pPr>
    <w:rPr>
      <w:rFonts w:ascii="Times New Roman" w:hAnsi="Times New Roman"/>
      <w:i/>
    </w:rPr>
  </w:style>
  <w:style w:type="paragraph" w:customStyle="1" w:styleId="TableCaption">
    <w:name w:val="Table Caption"/>
    <w:basedOn w:val="Caption"/>
    <w:pPr>
      <w:keepNext/>
    </w:pPr>
  </w:style>
  <w:style w:type="paragraph" w:customStyle="1" w:styleId="ImageCaption">
    <w:name w:val="Image Caption"/>
    <w:basedOn w:val="Caption"/>
    <w:rsid w:val="003A0BE0"/>
    <w:pPr>
      <w:spacing w:after="240"/>
      <w:jc w:val="both"/>
    </w:pPr>
    <w:rPr>
      <w:i w:val="0"/>
      <w:sz w:val="22"/>
    </w:rPr>
  </w:style>
  <w:style w:type="paragraph" w:customStyle="1" w:styleId="Figure">
    <w:name w:val="Figure"/>
    <w:basedOn w:val="Normal"/>
    <w:rsid w:val="00073B42"/>
    <w:pPr>
      <w:jc w:val="both"/>
    </w:pPr>
    <w:rPr>
      <w:rFonts w:ascii="Latin Modern Roman 9" w:hAnsi="Latin Modern Roman 9"/>
      <w:i/>
      <w:sz w:val="22"/>
    </w:rPr>
  </w:style>
  <w:style w:type="paragraph" w:customStyle="1" w:styleId="CaptionedFigure">
    <w:name w:val="Captioned Figure"/>
    <w:basedOn w:val="Figure"/>
    <w:rsid w:val="003A0BE0"/>
    <w:pPr>
      <w:keepNext/>
      <w:spacing w:before="360" w:after="160"/>
      <w:jc w:val="center"/>
    </w:pPr>
  </w:style>
  <w:style w:type="character" w:customStyle="1" w:styleId="CaptionChar">
    <w:name w:val="Caption Char"/>
    <w:basedOn w:val="DefaultParagraphFont"/>
    <w:link w:val="Caption"/>
    <w:rsid w:val="00AF40D5"/>
    <w:rPr>
      <w:rFonts w:ascii="Times New Roman" w:hAnsi="Times New Roman"/>
      <w:i/>
    </w:rPr>
  </w:style>
  <w:style w:type="character" w:customStyle="1" w:styleId="VerbatimChar">
    <w:name w:val="Verbatim Char"/>
    <w:basedOn w:val="CaptionChar"/>
    <w:link w:val="SourceCode"/>
    <w:rPr>
      <w:rFonts w:ascii="Consolas" w:hAnsi="Consolas"/>
      <w:i/>
      <w:sz w:val="22"/>
    </w:rPr>
  </w:style>
  <w:style w:type="character" w:styleId="FootnoteReference">
    <w:name w:val="footnote reference"/>
    <w:basedOn w:val="CaptionChar"/>
    <w:rPr>
      <w:rFonts w:ascii="Times New Roman" w:hAnsi="Times New Roman"/>
      <w:i/>
      <w:vertAlign w:val="superscript"/>
    </w:rPr>
  </w:style>
  <w:style w:type="character" w:styleId="Hyperlink">
    <w:name w:val="Hyperlink"/>
    <w:basedOn w:val="CaptionChar"/>
    <w:rsid w:val="008D752F"/>
    <w:rPr>
      <w:rFonts w:ascii="Times New Roman" w:hAnsi="Times New Roman"/>
      <w:i w:val="0"/>
      <w:color w:val="17432F"/>
      <w:sz w:val="24"/>
    </w:rPr>
  </w:style>
  <w:style w:type="paragraph" w:styleId="TOCHeading">
    <w:name w:val="TOC Heading"/>
    <w:basedOn w:val="Heading1"/>
    <w:next w:val="BodyText"/>
    <w:uiPriority w:val="39"/>
    <w:unhideWhenUsed/>
    <w:qFormat/>
    <w:rsid w:val="006D5FF3"/>
    <w:pPr>
      <w:spacing w:before="240" w:line="259" w:lineRule="auto"/>
      <w:outlineLvl w:val="9"/>
    </w:pPr>
    <w:rPr>
      <w:b w:val="0"/>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i/>
      <w:color w:val="204A87"/>
      <w:sz w:val="22"/>
      <w:shd w:val="clear" w:color="auto" w:fill="F8F8F8"/>
    </w:rPr>
  </w:style>
  <w:style w:type="character" w:customStyle="1" w:styleId="DataTypeTok">
    <w:name w:val="DataTypeTok"/>
    <w:basedOn w:val="VerbatimChar"/>
    <w:rPr>
      <w:rFonts w:ascii="Consolas" w:hAnsi="Consolas"/>
      <w:i/>
      <w:color w:val="204A87"/>
      <w:sz w:val="22"/>
      <w:shd w:val="clear" w:color="auto" w:fill="F8F8F8"/>
    </w:rPr>
  </w:style>
  <w:style w:type="character" w:customStyle="1" w:styleId="DecValTok">
    <w:name w:val="DecValTok"/>
    <w:basedOn w:val="VerbatimChar"/>
    <w:rPr>
      <w:rFonts w:ascii="Consolas" w:hAnsi="Consolas"/>
      <w:i/>
      <w:color w:val="0000CF"/>
      <w:sz w:val="22"/>
      <w:shd w:val="clear" w:color="auto" w:fill="F8F8F8"/>
    </w:rPr>
  </w:style>
  <w:style w:type="character" w:customStyle="1" w:styleId="BaseNTok">
    <w:name w:val="BaseNTok"/>
    <w:basedOn w:val="VerbatimChar"/>
    <w:rPr>
      <w:rFonts w:ascii="Consolas" w:hAnsi="Consolas"/>
      <w:i/>
      <w:color w:val="0000CF"/>
      <w:sz w:val="22"/>
      <w:shd w:val="clear" w:color="auto" w:fill="F8F8F8"/>
    </w:rPr>
  </w:style>
  <w:style w:type="character" w:customStyle="1" w:styleId="FloatTok">
    <w:name w:val="FloatTok"/>
    <w:basedOn w:val="VerbatimChar"/>
    <w:rPr>
      <w:rFonts w:ascii="Consolas" w:hAnsi="Consolas"/>
      <w:i/>
      <w:color w:val="0000CF"/>
      <w:sz w:val="22"/>
      <w:shd w:val="clear" w:color="auto" w:fill="F8F8F8"/>
    </w:rPr>
  </w:style>
  <w:style w:type="character" w:customStyle="1" w:styleId="ConstantTok">
    <w:name w:val="ConstantTok"/>
    <w:basedOn w:val="VerbatimChar"/>
    <w:rPr>
      <w:rFonts w:ascii="Consolas" w:hAnsi="Consolas"/>
      <w:i/>
      <w:color w:val="000000"/>
      <w:sz w:val="22"/>
      <w:shd w:val="clear" w:color="auto" w:fill="F8F8F8"/>
    </w:rPr>
  </w:style>
  <w:style w:type="character" w:customStyle="1" w:styleId="CharTok">
    <w:name w:val="CharTok"/>
    <w:basedOn w:val="VerbatimChar"/>
    <w:rPr>
      <w:rFonts w:ascii="Consolas" w:hAnsi="Consolas"/>
      <w:i/>
      <w:color w:val="4E9A06"/>
      <w:sz w:val="22"/>
      <w:shd w:val="clear" w:color="auto" w:fill="F8F8F8"/>
    </w:rPr>
  </w:style>
  <w:style w:type="character" w:customStyle="1" w:styleId="SpecialCharTok">
    <w:name w:val="SpecialCharTok"/>
    <w:basedOn w:val="VerbatimChar"/>
    <w:rPr>
      <w:rFonts w:ascii="Consolas" w:hAnsi="Consolas"/>
      <w:i/>
      <w:color w:val="000000"/>
      <w:sz w:val="22"/>
      <w:shd w:val="clear" w:color="auto" w:fill="F8F8F8"/>
    </w:rPr>
  </w:style>
  <w:style w:type="character" w:customStyle="1" w:styleId="StringTok">
    <w:name w:val="StringTok"/>
    <w:basedOn w:val="VerbatimChar"/>
    <w:rPr>
      <w:rFonts w:ascii="Consolas" w:hAnsi="Consolas"/>
      <w:i/>
      <w:color w:val="4E9A06"/>
      <w:sz w:val="22"/>
      <w:shd w:val="clear" w:color="auto" w:fill="F8F8F8"/>
    </w:rPr>
  </w:style>
  <w:style w:type="character" w:customStyle="1" w:styleId="VerbatimStringTok">
    <w:name w:val="VerbatimStringTok"/>
    <w:basedOn w:val="VerbatimChar"/>
    <w:rPr>
      <w:rFonts w:ascii="Consolas" w:hAnsi="Consolas"/>
      <w:i/>
      <w:color w:val="4E9A06"/>
      <w:sz w:val="22"/>
      <w:shd w:val="clear" w:color="auto" w:fill="F8F8F8"/>
    </w:rPr>
  </w:style>
  <w:style w:type="character" w:customStyle="1" w:styleId="SpecialStringTok">
    <w:name w:val="SpecialStringTok"/>
    <w:basedOn w:val="VerbatimChar"/>
    <w:rPr>
      <w:rFonts w:ascii="Consolas" w:hAnsi="Consolas"/>
      <w:i/>
      <w:color w:val="4E9A06"/>
      <w:sz w:val="22"/>
      <w:shd w:val="clear" w:color="auto" w:fill="F8F8F8"/>
    </w:rPr>
  </w:style>
  <w:style w:type="character" w:customStyle="1" w:styleId="ImportTok">
    <w:name w:val="ImportTok"/>
    <w:basedOn w:val="VerbatimChar"/>
    <w:rPr>
      <w:rFonts w:ascii="Consolas" w:hAnsi="Consolas"/>
      <w:i/>
      <w:sz w:val="22"/>
      <w:shd w:val="clear" w:color="auto" w:fill="F8F8F8"/>
    </w:rPr>
  </w:style>
  <w:style w:type="character" w:customStyle="1" w:styleId="CommentTok">
    <w:name w:val="CommentTok"/>
    <w:basedOn w:val="VerbatimChar"/>
    <w:rPr>
      <w:rFonts w:ascii="Consolas" w:hAnsi="Consolas"/>
      <w:i w:val="0"/>
      <w:color w:val="8F5902"/>
      <w:sz w:val="22"/>
      <w:shd w:val="clear" w:color="auto" w:fill="F8F8F8"/>
    </w:rPr>
  </w:style>
  <w:style w:type="character" w:customStyle="1" w:styleId="DocumentationTok">
    <w:name w:val="DocumentationTok"/>
    <w:basedOn w:val="VerbatimChar"/>
    <w:rPr>
      <w:rFonts w:ascii="Consolas" w:hAnsi="Consolas"/>
      <w:b/>
      <w:i w:val="0"/>
      <w:color w:val="8F5902"/>
      <w:sz w:val="22"/>
      <w:shd w:val="clear" w:color="auto" w:fill="F8F8F8"/>
    </w:rPr>
  </w:style>
  <w:style w:type="character" w:customStyle="1" w:styleId="AnnotationTok">
    <w:name w:val="AnnotationTok"/>
    <w:basedOn w:val="VerbatimChar"/>
    <w:rPr>
      <w:rFonts w:ascii="Consolas" w:hAnsi="Consolas"/>
      <w:b/>
      <w:i w:val="0"/>
      <w:color w:val="8F5902"/>
      <w:sz w:val="22"/>
      <w:shd w:val="clear" w:color="auto" w:fill="F8F8F8"/>
    </w:rPr>
  </w:style>
  <w:style w:type="character" w:customStyle="1" w:styleId="CommentVarTok">
    <w:name w:val="CommentVarTok"/>
    <w:basedOn w:val="VerbatimChar"/>
    <w:rPr>
      <w:rFonts w:ascii="Consolas" w:hAnsi="Consolas"/>
      <w:b/>
      <w:i w:val="0"/>
      <w:color w:val="8F5902"/>
      <w:sz w:val="22"/>
      <w:shd w:val="clear" w:color="auto" w:fill="F8F8F8"/>
    </w:rPr>
  </w:style>
  <w:style w:type="character" w:customStyle="1" w:styleId="OtherTok">
    <w:name w:val="OtherTok"/>
    <w:basedOn w:val="VerbatimChar"/>
    <w:rPr>
      <w:rFonts w:ascii="Consolas" w:hAnsi="Consolas"/>
      <w:i/>
      <w:color w:val="8F5902"/>
      <w:sz w:val="22"/>
      <w:shd w:val="clear" w:color="auto" w:fill="F8F8F8"/>
    </w:rPr>
  </w:style>
  <w:style w:type="character" w:customStyle="1" w:styleId="FunctionTok">
    <w:name w:val="FunctionTok"/>
    <w:basedOn w:val="VerbatimChar"/>
    <w:rPr>
      <w:rFonts w:ascii="Consolas" w:hAnsi="Consolas"/>
      <w:i/>
      <w:color w:val="000000"/>
      <w:sz w:val="22"/>
      <w:shd w:val="clear" w:color="auto" w:fill="F8F8F8"/>
    </w:rPr>
  </w:style>
  <w:style w:type="character" w:customStyle="1" w:styleId="VariableTok">
    <w:name w:val="VariableTok"/>
    <w:basedOn w:val="VerbatimChar"/>
    <w:rPr>
      <w:rFonts w:ascii="Consolas" w:hAnsi="Consolas"/>
      <w:i/>
      <w:color w:val="000000"/>
      <w:sz w:val="22"/>
      <w:shd w:val="clear" w:color="auto" w:fill="F8F8F8"/>
    </w:rPr>
  </w:style>
  <w:style w:type="character" w:customStyle="1" w:styleId="ControlFlowTok">
    <w:name w:val="ControlFlowTok"/>
    <w:basedOn w:val="VerbatimChar"/>
    <w:rPr>
      <w:rFonts w:ascii="Consolas" w:hAnsi="Consolas"/>
      <w:b/>
      <w:i/>
      <w:color w:val="204A87"/>
      <w:sz w:val="22"/>
      <w:shd w:val="clear" w:color="auto" w:fill="F8F8F8"/>
    </w:rPr>
  </w:style>
  <w:style w:type="character" w:customStyle="1" w:styleId="OperatorTok">
    <w:name w:val="OperatorTok"/>
    <w:basedOn w:val="VerbatimChar"/>
    <w:rPr>
      <w:rFonts w:ascii="Consolas" w:hAnsi="Consolas"/>
      <w:b/>
      <w:i/>
      <w:color w:val="CE5C00"/>
      <w:sz w:val="22"/>
      <w:shd w:val="clear" w:color="auto" w:fill="F8F8F8"/>
    </w:rPr>
  </w:style>
  <w:style w:type="character" w:customStyle="1" w:styleId="BuiltInTok">
    <w:name w:val="BuiltInTok"/>
    <w:basedOn w:val="VerbatimChar"/>
    <w:rPr>
      <w:rFonts w:ascii="Consolas" w:hAnsi="Consolas"/>
      <w:i/>
      <w:sz w:val="22"/>
      <w:shd w:val="clear" w:color="auto" w:fill="F8F8F8"/>
    </w:rPr>
  </w:style>
  <w:style w:type="character" w:customStyle="1" w:styleId="ExtensionTok">
    <w:name w:val="ExtensionTok"/>
    <w:basedOn w:val="VerbatimChar"/>
    <w:rPr>
      <w:rFonts w:ascii="Consolas" w:hAnsi="Consolas"/>
      <w:i/>
      <w:sz w:val="22"/>
      <w:shd w:val="clear" w:color="auto" w:fill="F8F8F8"/>
    </w:rPr>
  </w:style>
  <w:style w:type="character" w:customStyle="1" w:styleId="PreprocessorTok">
    <w:name w:val="PreprocessorTok"/>
    <w:basedOn w:val="VerbatimChar"/>
    <w:rPr>
      <w:rFonts w:ascii="Consolas" w:hAnsi="Consolas"/>
      <w:i w:val="0"/>
      <w:color w:val="8F5902"/>
      <w:sz w:val="22"/>
      <w:shd w:val="clear" w:color="auto" w:fill="F8F8F8"/>
    </w:rPr>
  </w:style>
  <w:style w:type="character" w:customStyle="1" w:styleId="AttributeTok">
    <w:name w:val="AttributeTok"/>
    <w:basedOn w:val="VerbatimChar"/>
    <w:rPr>
      <w:rFonts w:ascii="Consolas" w:hAnsi="Consolas"/>
      <w:i/>
      <w:color w:val="C4A000"/>
      <w:sz w:val="22"/>
      <w:shd w:val="clear" w:color="auto" w:fill="F8F8F8"/>
    </w:rPr>
  </w:style>
  <w:style w:type="character" w:customStyle="1" w:styleId="RegionMarkerTok">
    <w:name w:val="RegionMarkerTok"/>
    <w:basedOn w:val="VerbatimChar"/>
    <w:rPr>
      <w:rFonts w:ascii="Consolas" w:hAnsi="Consolas"/>
      <w:i/>
      <w:sz w:val="22"/>
      <w:shd w:val="clear" w:color="auto" w:fill="F8F8F8"/>
    </w:rPr>
  </w:style>
  <w:style w:type="character" w:customStyle="1" w:styleId="InformationTok">
    <w:name w:val="InformationTok"/>
    <w:basedOn w:val="VerbatimChar"/>
    <w:rPr>
      <w:rFonts w:ascii="Consolas" w:hAnsi="Consolas"/>
      <w:b/>
      <w:i w:val="0"/>
      <w:color w:val="8F5902"/>
      <w:sz w:val="22"/>
      <w:shd w:val="clear" w:color="auto" w:fill="F8F8F8"/>
    </w:rPr>
  </w:style>
  <w:style w:type="character" w:customStyle="1" w:styleId="WarningTok">
    <w:name w:val="WarningTok"/>
    <w:basedOn w:val="VerbatimChar"/>
    <w:rPr>
      <w:rFonts w:ascii="Consolas" w:hAnsi="Consolas"/>
      <w:b/>
      <w:i w:val="0"/>
      <w:color w:val="8F5902"/>
      <w:sz w:val="22"/>
      <w:shd w:val="clear" w:color="auto" w:fill="F8F8F8"/>
    </w:rPr>
  </w:style>
  <w:style w:type="character" w:customStyle="1" w:styleId="AlertTok">
    <w:name w:val="AlertTok"/>
    <w:basedOn w:val="VerbatimChar"/>
    <w:rPr>
      <w:rFonts w:ascii="Consolas" w:hAnsi="Consolas"/>
      <w:i/>
      <w:color w:val="EF2929"/>
      <w:sz w:val="22"/>
      <w:shd w:val="clear" w:color="auto" w:fill="F8F8F8"/>
    </w:rPr>
  </w:style>
  <w:style w:type="character" w:customStyle="1" w:styleId="ErrorTok">
    <w:name w:val="ErrorTok"/>
    <w:basedOn w:val="VerbatimChar"/>
    <w:rPr>
      <w:rFonts w:ascii="Consolas" w:hAnsi="Consolas"/>
      <w:b/>
      <w:i/>
      <w:color w:val="A40000"/>
      <w:sz w:val="22"/>
      <w:shd w:val="clear" w:color="auto" w:fill="F8F8F8"/>
    </w:rPr>
  </w:style>
  <w:style w:type="character" w:customStyle="1" w:styleId="NormalTok">
    <w:name w:val="NormalTok"/>
    <w:basedOn w:val="VerbatimChar"/>
    <w:rPr>
      <w:rFonts w:ascii="Consolas" w:hAnsi="Consolas"/>
      <w:i/>
      <w:sz w:val="22"/>
      <w:shd w:val="clear" w:color="auto" w:fill="F8F8F8"/>
    </w:rPr>
  </w:style>
  <w:style w:type="character" w:styleId="LineNumber">
    <w:name w:val="line number"/>
    <w:basedOn w:val="DefaultParagraphFont"/>
    <w:semiHidden/>
    <w:unhideWhenUsed/>
    <w:rsid w:val="00CC5676"/>
    <w:rPr>
      <w:rFonts w:ascii="Latin Modern Roman 9" w:hAnsi="Latin Modern Roman 9"/>
      <w:sz w:val="14"/>
    </w:rPr>
  </w:style>
  <w:style w:type="character" w:styleId="FollowedHyperlink">
    <w:name w:val="FollowedHyperlink"/>
    <w:basedOn w:val="DefaultParagraphFont"/>
    <w:semiHidden/>
    <w:unhideWhenUsed/>
    <w:rsid w:val="009E5798"/>
    <w:rPr>
      <w:color w:val="800080" w:themeColor="followedHyperlink"/>
      <w:u w:val="single"/>
    </w:rPr>
  </w:style>
  <w:style w:type="character" w:customStyle="1" w:styleId="BodyTextChar">
    <w:name w:val="Body Text Char"/>
    <w:basedOn w:val="DefaultParagraphFont"/>
    <w:link w:val="BodyText"/>
    <w:rsid w:val="00385DCB"/>
    <w:rPr>
      <w:rFonts w:ascii="Times New Roman" w:hAnsi="Times New Roman"/>
    </w:rPr>
  </w:style>
  <w:style w:type="table" w:customStyle="1" w:styleId="Table1">
    <w:name w:val="Table1"/>
    <w:semiHidden/>
    <w:unhideWhenUsed/>
    <w:qFormat/>
    <w:rsid w:val="00DC29E0"/>
    <w:tblPr>
      <w:tblInd w:w="0" w:type="dxa"/>
      <w:tblCellMar>
        <w:top w:w="0" w:type="dxa"/>
        <w:left w:w="108" w:type="dxa"/>
        <w:bottom w:w="0" w:type="dxa"/>
        <w:right w:w="108" w:type="dxa"/>
      </w:tblCellMar>
    </w:tblPr>
  </w:style>
  <w:style w:type="paragraph" w:customStyle="1" w:styleId="table0">
    <w:name w:val="table"/>
    <w:basedOn w:val="Normal"/>
    <w:qFormat/>
    <w:rsid w:val="00DC29E0"/>
    <w:pPr>
      <w:keepNext/>
      <w:spacing w:after="120"/>
    </w:pPr>
    <w:rPr>
      <w:i/>
    </w:rPr>
  </w:style>
  <w:style w:type="character" w:styleId="IntenseEmphasis">
    <w:name w:val="Intense Emphasis"/>
    <w:basedOn w:val="DefaultParagraphFont"/>
    <w:rsid w:val="00CC5676"/>
    <w:rPr>
      <w:i w:val="0"/>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0" Target="media/rId60.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32" Target="media/rId32.png" /><Relationship Type="http://schemas.openxmlformats.org/officeDocument/2006/relationships/image" Id="rId28" Target="media/rId28.png" /><Relationship Type="http://schemas.openxmlformats.org/officeDocument/2006/relationships/image" Id="rId24" Target="media/rId24.png" /><Relationship Type="http://schemas.openxmlformats.org/officeDocument/2006/relationships/image" Id="rId51" Target="media/rId51.png" /><Relationship Type="http://schemas.openxmlformats.org/officeDocument/2006/relationships/image" Id="rId56" Target="media/rId56.png" /><Relationship Type="http://schemas.openxmlformats.org/officeDocument/2006/relationships/hyperlink" Id="rId20" Target="https://github.com/vcameron1/Metapop_ms" TargetMode="External" /></Relationships>
</file>

<file path=word/_rels/footnotes.xml.rels><?xml version="1.0" encoding="UTF-8"?>
<Relationships xmlns="http://schemas.openxmlformats.org/package/2006/relationships"><Relationship Type="http://schemas.openxmlformats.org/officeDocument/2006/relationships/hyperlink" Id="rId20" Target="https://github.com/vcameron1/Metapop_m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Forest Management Affect Colonization Credit, but not Extinction Debt, to Reduce Delayed Range Shifts under Climate Change</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Spatial Structure is More Than Habitat Amount: A Metapopulation Approach is Necessary to Project Distributions Under Climate Change</dc:title>
  <dc:creator>Victor Cameron1,2,*, F. Guillaume Blanchet1,2,3,4, Yan Boulanger5, Junior A. Tremblay6,7, Dominique Gravel1,2  1 Département de biologie, Université de Sherbrooke, Sherbrooke, Québec, Canada 2 Québec Centre for Biodiversity Sciences, McGill University, Montréal, Québec, Canada 3 Département de mathématiques, Université de Sherbrooke, Sherbrooke, Québec, Canada 4 Département des sciences de la santé communautaire, Université de Sherbrooke, Sherbrooke, Québec, Canada 5 Canadian Forest Service, Laurentian Forestry Centre, Natural Resources Canada, Québec, Québec, Canada 6 Environment and Climate Change Canada, Wildlife Research Division, Québec, Québec, Canada 7 Département des sciences du bois et de la forêt, Université Laval, Québec, Canada * corresponding author: victor.cameron@usherbrooke.ca</dc:creator>
  <cp:keywords/>
  <dcterms:created xsi:type="dcterms:W3CDTF">2024-01-25T13:48:25Z</dcterms:created>
  <dcterms:modified xsi:type="dcterms:W3CDTF">2024-01-25T13:48:25Z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Projecting distributions under climate change requires going beyond climate suitability models. Assessing species persistence should account for the spatial arrangement and the size of suitable habitats, which are often characterized by vegetation or other biotic constraints. We propose that metapopulation theory can be used to leverage species distribution models and account for the complexity arising from biotic interactions, demography, and landscape structure. We review the theory for distribution shifts in response to climate change and derive three concepts that contrast with classical approaches: i) habitat-climate mismatch can generate non-equilibrium dynamics, ii) linear change in habitat occupancy generates nonlinear distribution change, and iii) the effect of environmental change on habitats can propagate up and have counterintuitive effects on higher trophic levels. We illustrate the theory through a study of habitat suitability within the Bicknell’s Thrush (Catharus bicknelli) distribution, a threatened bird whose patchy distribution is restricted to dense balsam fir forests generally found at high elevation. Under climate warming, we observe from the effect of climate alone a northward expansion associated with an important southern range contraction. In contrast, the distribution of associated vegetation remains geographically stable despite warming. An arising mismatch between climate and vegetation drives important changes to the spatial structure of suitable habitat patches. Patch area, connectivity, and habitat amount can be differently affected by climate change, which influence species persistence, suggesting that habitat amount alone is not enough to characterize regional distribution changes. Our results support the importance of integrating both habitat amount (biotic and abiotic) and landscape spatial structure in the assessment of persistence for which the metapopulation theory may be an ideal framework.</vt:lpwstr>
  </property>
</Properties>
</file>